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9227B" w14:textId="54FE3896" w:rsidR="001E21BF" w:rsidRPr="00A80B54" w:rsidRDefault="00047391" w:rsidP="749081D7">
      <w:pPr>
        <w:pStyle w:val="Title"/>
        <w:rPr>
          <w:rFonts w:asciiTheme="majorHAnsi" w:hAnsiTheme="majorHAnsi"/>
          <w:b/>
          <w:bCs/>
          <w:sz w:val="52"/>
          <w:szCs w:val="52"/>
        </w:rPr>
      </w:pPr>
      <w:r w:rsidRPr="749081D7">
        <w:rPr>
          <w:rFonts w:asciiTheme="majorHAnsi" w:hAnsiTheme="majorHAnsi"/>
          <w:b/>
          <w:bCs/>
          <w:sz w:val="52"/>
          <w:szCs w:val="52"/>
        </w:rPr>
        <w:t xml:space="preserve">Deputy </w:t>
      </w:r>
      <w:r w:rsidR="00D84A74" w:rsidRPr="749081D7">
        <w:rPr>
          <w:rFonts w:asciiTheme="majorHAnsi" w:hAnsiTheme="majorHAnsi"/>
          <w:b/>
          <w:bCs/>
          <w:sz w:val="52"/>
          <w:szCs w:val="52"/>
        </w:rPr>
        <w:t xml:space="preserve">Chief </w:t>
      </w:r>
      <w:r w:rsidRPr="749081D7">
        <w:rPr>
          <w:rFonts w:asciiTheme="majorHAnsi" w:hAnsiTheme="majorHAnsi"/>
          <w:b/>
          <w:bCs/>
          <w:sz w:val="52"/>
          <w:szCs w:val="52"/>
        </w:rPr>
        <w:t xml:space="preserve">Executive </w:t>
      </w:r>
      <w:r w:rsidR="00D84A74" w:rsidRPr="749081D7">
        <w:rPr>
          <w:rFonts w:asciiTheme="majorHAnsi" w:hAnsiTheme="majorHAnsi"/>
          <w:b/>
          <w:bCs/>
          <w:sz w:val="52"/>
          <w:szCs w:val="52"/>
        </w:rPr>
        <w:t>Officer</w:t>
      </w:r>
      <w:r w:rsidR="00F64BB3" w:rsidRPr="749081D7">
        <w:rPr>
          <w:rFonts w:asciiTheme="majorHAnsi" w:hAnsiTheme="majorHAnsi"/>
          <w:b/>
          <w:bCs/>
          <w:sz w:val="52"/>
          <w:szCs w:val="52"/>
        </w:rPr>
        <w:t xml:space="preserve"> </w:t>
      </w:r>
      <w:r w:rsidR="00033ED9" w:rsidRPr="749081D7">
        <w:rPr>
          <w:rFonts w:asciiTheme="majorHAnsi" w:hAnsiTheme="majorHAnsi"/>
          <w:b/>
          <w:bCs/>
          <w:sz w:val="52"/>
          <w:szCs w:val="52"/>
        </w:rPr>
        <w:t>–</w:t>
      </w:r>
      <w:r w:rsidR="00F64BB3" w:rsidRPr="749081D7">
        <w:rPr>
          <w:rFonts w:asciiTheme="majorHAnsi" w:hAnsiTheme="majorHAnsi"/>
          <w:b/>
          <w:bCs/>
          <w:sz w:val="52"/>
          <w:szCs w:val="52"/>
        </w:rPr>
        <w:t xml:space="preserve"> SES</w:t>
      </w:r>
      <w:r w:rsidR="00033ED9" w:rsidRPr="749081D7">
        <w:rPr>
          <w:rFonts w:asciiTheme="majorHAnsi" w:hAnsiTheme="majorHAnsi"/>
          <w:b/>
          <w:bCs/>
          <w:sz w:val="52"/>
          <w:szCs w:val="52"/>
        </w:rPr>
        <w:t>3</w:t>
      </w:r>
      <w:r w:rsidR="2A227C31" w:rsidRPr="749081D7">
        <w:rPr>
          <w:rFonts w:asciiTheme="majorHAnsi" w:hAnsiTheme="majorHAnsi"/>
          <w:b/>
          <w:bCs/>
          <w:sz w:val="52"/>
          <w:szCs w:val="52"/>
        </w:rPr>
        <w:t xml:space="preserve"> </w:t>
      </w:r>
      <w:r w:rsidR="00E40FC3">
        <w:rPr>
          <w:rFonts w:asciiTheme="majorHAnsi" w:hAnsiTheme="majorHAnsi"/>
          <w:b/>
          <w:bCs/>
          <w:sz w:val="52"/>
          <w:szCs w:val="52"/>
        </w:rPr>
        <w:t>L</w:t>
      </w:r>
    </w:p>
    <w:p w14:paraId="5C70228A" w14:textId="29590CA8" w:rsidR="006F2C94" w:rsidRPr="00A80B54" w:rsidRDefault="00033ED9" w:rsidP="00CD2BD3">
      <w:pPr>
        <w:pStyle w:val="Heading2"/>
        <w:rPr>
          <w:rFonts w:asciiTheme="majorHAnsi" w:hAnsiTheme="majorHAnsi" w:cstheme="majorHAnsi"/>
          <w:sz w:val="32"/>
          <w:szCs w:val="32"/>
        </w:rPr>
      </w:pPr>
      <w:r>
        <w:rPr>
          <w:rFonts w:asciiTheme="majorHAnsi" w:hAnsiTheme="majorHAnsi" w:cstheme="majorHAnsi"/>
          <w:sz w:val="32"/>
          <w:szCs w:val="32"/>
        </w:rPr>
        <w:t>Trade and Investment Queensland</w:t>
      </w:r>
    </w:p>
    <w:p w14:paraId="732B34F1" w14:textId="293ECF35" w:rsidR="00CD2BD3" w:rsidRPr="00A80B54" w:rsidRDefault="00022072" w:rsidP="00CD2BD3">
      <w:pPr>
        <w:pStyle w:val="Heading1"/>
        <w:rPr>
          <w:rFonts w:asciiTheme="majorHAnsi" w:hAnsiTheme="majorHAnsi" w:cstheme="majorHAnsi"/>
          <w:b/>
          <w:bCs/>
        </w:rPr>
      </w:pPr>
      <w:r w:rsidRPr="00A80B54">
        <w:rPr>
          <w:rFonts w:asciiTheme="majorHAnsi" w:hAnsiTheme="majorHAnsi" w:cstheme="majorHAnsi"/>
          <w:b/>
          <w:bCs/>
        </w:rPr>
        <w:t>About the role</w:t>
      </w:r>
    </w:p>
    <w:tbl>
      <w:tblPr>
        <w:tblStyle w:val="ListTable6Colorful-Accent1"/>
        <w:tblW w:w="5000" w:type="pct"/>
        <w:tblLook w:val="04A0" w:firstRow="1" w:lastRow="0" w:firstColumn="1" w:lastColumn="0" w:noHBand="0" w:noVBand="1"/>
      </w:tblPr>
      <w:tblGrid>
        <w:gridCol w:w="2946"/>
        <w:gridCol w:w="6693"/>
      </w:tblGrid>
      <w:tr w:rsidR="002D5CCB" w:rsidRPr="00A80B54" w14:paraId="2E160225" w14:textId="77777777" w:rsidTr="749081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pct"/>
          </w:tcPr>
          <w:p w14:paraId="68F21918" w14:textId="53051829" w:rsidR="002D5CCB" w:rsidRPr="00A80B54" w:rsidRDefault="002D5CCB" w:rsidP="002D5CCB">
            <w:pPr>
              <w:pStyle w:val="TableParagraph"/>
              <w:spacing w:before="0" w:after="120"/>
              <w:ind w:left="0"/>
              <w:rPr>
                <w:rFonts w:asciiTheme="majorHAnsi" w:hAnsiTheme="majorHAnsi" w:cstheme="majorHAnsi"/>
                <w:b w:val="0"/>
                <w:color w:val="0A0E10"/>
              </w:rPr>
            </w:pPr>
            <w:r w:rsidRPr="00A80B54">
              <w:rPr>
                <w:rFonts w:asciiTheme="majorHAnsi" w:hAnsiTheme="majorHAnsi" w:cstheme="majorHAnsi"/>
                <w:color w:val="0A0E10"/>
              </w:rPr>
              <w:t xml:space="preserve">Employment </w:t>
            </w:r>
            <w:r w:rsidRPr="00A80B54">
              <w:rPr>
                <w:rFonts w:asciiTheme="majorHAnsi" w:hAnsiTheme="majorHAnsi" w:cstheme="majorHAnsi"/>
                <w:color w:val="0A0E10"/>
                <w:spacing w:val="-4"/>
              </w:rPr>
              <w:t>type</w:t>
            </w:r>
          </w:p>
        </w:tc>
        <w:tc>
          <w:tcPr>
            <w:tcW w:w="3472" w:type="pct"/>
          </w:tcPr>
          <w:p w14:paraId="2AB99F03" w14:textId="5C2FE448" w:rsidR="002D5CCB" w:rsidRPr="00A80B54" w:rsidRDefault="00F607DE" w:rsidP="002D5CCB">
            <w:pPr>
              <w:pStyle w:val="TableParagraph"/>
              <w:spacing w:before="0"/>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A0E10"/>
              </w:rPr>
            </w:pPr>
            <w:r w:rsidRPr="729A5625">
              <w:rPr>
                <w:color w:val="auto"/>
              </w:rPr>
              <w:t>Contract for a period of 3 years, with the possibility of a 2-year extension</w:t>
            </w:r>
          </w:p>
        </w:tc>
      </w:tr>
      <w:tr w:rsidR="002D5CCB" w:rsidRPr="00A80B54" w14:paraId="0C37C8C3" w14:textId="77777777" w:rsidTr="749081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8" w:type="pct"/>
          </w:tcPr>
          <w:p w14:paraId="1EF2BEF3" w14:textId="1955A27D" w:rsidR="002D5CCB" w:rsidRPr="00A80B54" w:rsidRDefault="002D5CCB" w:rsidP="002D5CCB">
            <w:pPr>
              <w:pStyle w:val="TableParagraph"/>
              <w:spacing w:before="0"/>
              <w:ind w:left="0"/>
              <w:rPr>
                <w:rFonts w:asciiTheme="majorHAnsi" w:hAnsiTheme="majorHAnsi" w:cstheme="majorHAnsi"/>
                <w:noProof/>
              </w:rPr>
            </w:pPr>
            <w:r w:rsidRPr="00A80B54">
              <w:rPr>
                <w:rFonts w:asciiTheme="majorHAnsi" w:hAnsiTheme="majorHAnsi" w:cstheme="majorHAnsi"/>
                <w:bCs w:val="0"/>
                <w:color w:val="0A0E10"/>
              </w:rPr>
              <w:t>L</w:t>
            </w:r>
            <w:r w:rsidRPr="00A80B54">
              <w:rPr>
                <w:rFonts w:asciiTheme="majorHAnsi" w:hAnsiTheme="majorHAnsi" w:cstheme="majorHAnsi"/>
                <w:color w:val="0A0E10"/>
              </w:rPr>
              <w:t>ocation</w:t>
            </w:r>
          </w:p>
        </w:tc>
        <w:tc>
          <w:tcPr>
            <w:tcW w:w="3472" w:type="pct"/>
          </w:tcPr>
          <w:p w14:paraId="61942AB8" w14:textId="3C406F55" w:rsidR="002D5CCB" w:rsidRPr="00A80B54" w:rsidRDefault="68C4F8AB" w:rsidP="749081D7">
            <w:pPr>
              <w:pStyle w:val="TableParagraph"/>
              <w:spacing w:before="0"/>
              <w:ind w:left="0"/>
              <w:cnfStyle w:val="000000100000" w:firstRow="0" w:lastRow="0" w:firstColumn="0" w:lastColumn="0" w:oddVBand="0" w:evenVBand="0" w:oddHBand="1" w:evenHBand="0" w:firstRowFirstColumn="0" w:firstRowLastColumn="0" w:lastRowFirstColumn="0" w:lastRowLastColumn="0"/>
            </w:pPr>
            <w:r w:rsidRPr="749081D7">
              <w:rPr>
                <w:rFonts w:asciiTheme="majorHAnsi" w:hAnsiTheme="majorHAnsi" w:cstheme="majorBidi"/>
                <w:color w:val="000000" w:themeColor="text1"/>
              </w:rPr>
              <w:t xml:space="preserve">1 William Street, Brisbane CBD </w:t>
            </w:r>
          </w:p>
        </w:tc>
      </w:tr>
      <w:tr w:rsidR="002D5CCB" w:rsidRPr="00A80B54" w14:paraId="191718FB" w14:textId="77777777" w:rsidTr="749081D7">
        <w:trPr>
          <w:trHeight w:val="66"/>
        </w:trPr>
        <w:tc>
          <w:tcPr>
            <w:cnfStyle w:val="001000000000" w:firstRow="0" w:lastRow="0" w:firstColumn="1" w:lastColumn="0" w:oddVBand="0" w:evenVBand="0" w:oddHBand="0" w:evenHBand="0" w:firstRowFirstColumn="0" w:firstRowLastColumn="0" w:lastRowFirstColumn="0" w:lastRowLastColumn="0"/>
            <w:tcW w:w="1528" w:type="pct"/>
          </w:tcPr>
          <w:p w14:paraId="531D943D" w14:textId="3CB80010" w:rsidR="002D5CCB" w:rsidRPr="00A80B54" w:rsidRDefault="002D5CCB" w:rsidP="002D5CCB">
            <w:pPr>
              <w:pStyle w:val="TableParagraph"/>
              <w:spacing w:before="0"/>
              <w:ind w:left="0"/>
              <w:rPr>
                <w:rFonts w:asciiTheme="majorHAnsi" w:hAnsiTheme="majorHAnsi" w:cstheme="majorHAnsi"/>
                <w:noProof/>
              </w:rPr>
            </w:pPr>
            <w:r w:rsidRPr="00A80B54">
              <w:rPr>
                <w:rFonts w:asciiTheme="majorHAnsi" w:hAnsiTheme="majorHAnsi" w:cstheme="majorHAnsi"/>
                <w:color w:val="0A0E10"/>
              </w:rPr>
              <w:t>Reporting</w:t>
            </w:r>
          </w:p>
        </w:tc>
        <w:tc>
          <w:tcPr>
            <w:tcW w:w="3472" w:type="pct"/>
          </w:tcPr>
          <w:p w14:paraId="30CCD93A" w14:textId="7389F7EA" w:rsidR="002D5CCB" w:rsidRPr="004052E5" w:rsidRDefault="002D5CCB" w:rsidP="002D5CCB">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4C" w:themeColor="accent5" w:themeShade="BF"/>
              </w:rPr>
            </w:pPr>
            <w:r w:rsidRPr="004052E5">
              <w:rPr>
                <w:rFonts w:asciiTheme="majorHAnsi" w:hAnsiTheme="majorHAnsi" w:cstheme="majorHAnsi"/>
                <w:color w:val="0A0E10"/>
              </w:rPr>
              <w:t>Reports to</w:t>
            </w:r>
            <w:r w:rsidRPr="004052E5">
              <w:rPr>
                <w:rFonts w:asciiTheme="majorHAnsi" w:hAnsiTheme="majorHAnsi" w:cstheme="majorHAnsi"/>
                <w:color w:val="000000" w:themeColor="text1"/>
              </w:rPr>
              <w:t xml:space="preserve"> </w:t>
            </w:r>
            <w:r w:rsidR="00F607DE" w:rsidRPr="004052E5">
              <w:rPr>
                <w:rFonts w:asciiTheme="majorHAnsi" w:hAnsiTheme="majorHAnsi" w:cstheme="majorHAnsi"/>
                <w:color w:val="000000" w:themeColor="text1"/>
              </w:rPr>
              <w:t>– Chief Executive Officer</w:t>
            </w:r>
          </w:p>
          <w:p w14:paraId="3DB66395" w14:textId="13903992" w:rsidR="00DD6D36" w:rsidRPr="00BA07D5" w:rsidRDefault="002D5CCB" w:rsidP="749081D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A0E10"/>
                <w:highlight w:val="green"/>
              </w:rPr>
            </w:pPr>
            <w:r w:rsidRPr="004052E5">
              <w:rPr>
                <w:rFonts w:asciiTheme="majorHAnsi" w:hAnsiTheme="majorHAnsi" w:cstheme="majorBidi"/>
                <w:color w:val="0A0E10"/>
              </w:rPr>
              <w:t>Direct reports –</w:t>
            </w:r>
            <w:r w:rsidR="004052E5" w:rsidRPr="004052E5">
              <w:rPr>
                <w:rFonts w:asciiTheme="majorHAnsi" w:hAnsiTheme="majorHAnsi" w:cstheme="majorBidi"/>
                <w:color w:val="0A0E10"/>
              </w:rPr>
              <w:t xml:space="preserve"> 8</w:t>
            </w:r>
          </w:p>
        </w:tc>
      </w:tr>
    </w:tbl>
    <w:p w14:paraId="03EDF06B" w14:textId="50A62A1A" w:rsidR="00400E6C" w:rsidRPr="00A80B54" w:rsidRDefault="00400E6C" w:rsidP="00400E6C">
      <w:pPr>
        <w:pStyle w:val="Heading1"/>
        <w:rPr>
          <w:rFonts w:asciiTheme="majorHAnsi" w:hAnsiTheme="majorHAnsi" w:cstheme="majorHAnsi"/>
          <w:b/>
          <w:bCs/>
        </w:rPr>
      </w:pPr>
      <w:r w:rsidRPr="00A80B54">
        <w:rPr>
          <w:rFonts w:asciiTheme="majorHAnsi" w:hAnsiTheme="majorHAnsi" w:cstheme="majorHAnsi"/>
          <w:b/>
          <w:bCs/>
        </w:rPr>
        <w:t xml:space="preserve">Why </w:t>
      </w:r>
      <w:r w:rsidR="00037E9B" w:rsidRPr="00A80B54">
        <w:rPr>
          <w:rFonts w:asciiTheme="majorHAnsi" w:hAnsiTheme="majorHAnsi" w:cstheme="majorHAnsi"/>
          <w:b/>
          <w:bCs/>
        </w:rPr>
        <w:t xml:space="preserve">join </w:t>
      </w:r>
      <w:r w:rsidR="00DA3A14" w:rsidRPr="00A80B54">
        <w:rPr>
          <w:rFonts w:asciiTheme="majorHAnsi" w:hAnsiTheme="majorHAnsi" w:cstheme="majorHAnsi"/>
          <w:b/>
          <w:bCs/>
        </w:rPr>
        <w:t>TIQ</w:t>
      </w:r>
      <w:r w:rsidRPr="00A80B54">
        <w:rPr>
          <w:rFonts w:asciiTheme="majorHAnsi" w:hAnsiTheme="majorHAnsi" w:cstheme="majorHAnsi"/>
          <w:b/>
          <w:bCs/>
        </w:rPr>
        <w:t>?</w:t>
      </w:r>
    </w:p>
    <w:p w14:paraId="7B753751" w14:textId="56A5BBBA" w:rsidR="00296CC9" w:rsidRPr="00A80B54" w:rsidRDefault="00296CC9" w:rsidP="00C22AC3">
      <w:pPr>
        <w:spacing w:after="0"/>
        <w:rPr>
          <w:rFonts w:asciiTheme="majorHAnsi" w:hAnsiTheme="majorHAnsi" w:cstheme="majorHAnsi"/>
          <w:sz w:val="22"/>
        </w:rPr>
      </w:pPr>
      <w:r w:rsidRPr="00A80B54">
        <w:rPr>
          <w:rFonts w:asciiTheme="majorHAnsi" w:hAnsiTheme="majorHAnsi" w:cstheme="majorHAnsi"/>
          <w:sz w:val="22"/>
        </w:rPr>
        <w:t>Here are four reasons why you should join us:</w:t>
      </w:r>
    </w:p>
    <w:p w14:paraId="313DB3EF" w14:textId="77777777" w:rsidR="00CD2BD3" w:rsidRPr="00A80B54" w:rsidRDefault="00CD2BD3" w:rsidP="00C22AC3">
      <w:pPr>
        <w:spacing w:after="0"/>
        <w:rPr>
          <w:rFonts w:asciiTheme="majorHAnsi" w:hAnsiTheme="majorHAnsi" w:cstheme="majorHAnsi"/>
          <w:sz w:val="22"/>
        </w:rPr>
      </w:pPr>
    </w:p>
    <w:tbl>
      <w:tblPr>
        <w:tblStyle w:val="ListTable6Colorful-Accent1"/>
        <w:tblW w:w="0" w:type="auto"/>
        <w:tblLook w:val="04A0" w:firstRow="1" w:lastRow="0" w:firstColumn="1" w:lastColumn="0" w:noHBand="0" w:noVBand="1"/>
      </w:tblPr>
      <w:tblGrid>
        <w:gridCol w:w="4819"/>
        <w:gridCol w:w="4820"/>
      </w:tblGrid>
      <w:tr w:rsidR="003F0537" w:rsidRPr="00A80B54" w14:paraId="118B5444" w14:textId="77777777" w:rsidTr="00CD2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103FD1FC" w14:textId="77777777" w:rsidR="003F0537" w:rsidRPr="00A80B54" w:rsidRDefault="003F0537" w:rsidP="003F0537">
            <w:pPr>
              <w:pStyle w:val="Heading2"/>
              <w:rPr>
                <w:rFonts w:asciiTheme="majorHAnsi" w:hAnsiTheme="majorHAnsi" w:cstheme="majorHAnsi"/>
                <w:b w:val="0"/>
                <w:bCs w:val="0"/>
                <w:i/>
                <w:iCs/>
                <w:sz w:val="22"/>
                <w:szCs w:val="22"/>
              </w:rPr>
            </w:pPr>
            <w:r w:rsidRPr="00A80B54">
              <w:rPr>
                <w:rFonts w:asciiTheme="majorHAnsi" w:hAnsiTheme="majorHAnsi" w:cstheme="majorHAnsi"/>
                <w:color w:val="00CCCC" w:themeColor="accent1"/>
                <w:sz w:val="22"/>
                <w:szCs w:val="22"/>
              </w:rPr>
              <w:t xml:space="preserve">Connect </w:t>
            </w:r>
            <w:r w:rsidRPr="00A80B54">
              <w:rPr>
                <w:rFonts w:asciiTheme="majorHAnsi" w:hAnsiTheme="majorHAnsi" w:cstheme="majorHAnsi"/>
                <w:sz w:val="22"/>
                <w:szCs w:val="22"/>
              </w:rPr>
              <w:t xml:space="preserve">people with opportunity </w:t>
            </w:r>
          </w:p>
          <w:p w14:paraId="7B67600C" w14:textId="2F1FBE11" w:rsidR="003F0537" w:rsidRPr="00A80B54" w:rsidRDefault="003F0537" w:rsidP="003F0537">
            <w:pPr>
              <w:pStyle w:val="ListParagraph"/>
              <w:rPr>
                <w:rFonts w:asciiTheme="majorHAnsi" w:hAnsiTheme="majorHAnsi" w:cstheme="majorHAnsi"/>
                <w:b w:val="0"/>
                <w:bCs w:val="0"/>
                <w:i/>
                <w:iCs/>
                <w:color w:val="auto"/>
                <w:sz w:val="21"/>
                <w:szCs w:val="21"/>
              </w:rPr>
            </w:pPr>
            <w:r w:rsidRPr="00A80B54">
              <w:rPr>
                <w:rFonts w:asciiTheme="majorHAnsi" w:hAnsiTheme="majorHAnsi" w:cstheme="majorHAnsi"/>
                <w:b w:val="0"/>
                <w:bCs w:val="0"/>
                <w:color w:val="auto"/>
                <w:sz w:val="21"/>
                <w:szCs w:val="21"/>
              </w:rPr>
              <w:t>Connect with people and business owners you wouldn’t be able to anywhere else and build meaningful relationships.</w:t>
            </w:r>
          </w:p>
          <w:p w14:paraId="4731EEF0" w14:textId="38C7B53E" w:rsidR="003F0537" w:rsidRPr="00A80B54" w:rsidRDefault="003F0537" w:rsidP="000434F6">
            <w:pPr>
              <w:pStyle w:val="ListParagraph"/>
              <w:spacing w:before="60" w:after="60"/>
              <w:rPr>
                <w:rFonts w:asciiTheme="majorHAnsi" w:hAnsiTheme="majorHAnsi" w:cstheme="majorHAnsi"/>
                <w:b w:val="0"/>
                <w:bCs w:val="0"/>
                <w:color w:val="000000" w:themeColor="text1"/>
                <w:sz w:val="22"/>
              </w:rPr>
            </w:pPr>
            <w:r w:rsidRPr="00A80B54">
              <w:rPr>
                <w:rFonts w:asciiTheme="majorHAnsi" w:hAnsiTheme="majorHAnsi" w:cstheme="majorHAnsi"/>
                <w:b w:val="0"/>
                <w:bCs w:val="0"/>
                <w:color w:val="auto"/>
                <w:sz w:val="21"/>
                <w:szCs w:val="21"/>
              </w:rPr>
              <w:t>Play an integral part in connecting Queensland to the rest of the world</w:t>
            </w:r>
            <w:r w:rsidRPr="00A80B54">
              <w:rPr>
                <w:rFonts w:asciiTheme="majorHAnsi" w:hAnsiTheme="majorHAnsi" w:cstheme="majorHAnsi"/>
                <w:b w:val="0"/>
                <w:bCs w:val="0"/>
                <w:color w:val="auto"/>
                <w:sz w:val="22"/>
              </w:rPr>
              <w:t>.</w:t>
            </w:r>
          </w:p>
        </w:tc>
        <w:tc>
          <w:tcPr>
            <w:tcW w:w="4820" w:type="dxa"/>
          </w:tcPr>
          <w:p w14:paraId="49AB07C1" w14:textId="77777777" w:rsidR="003F0537" w:rsidRPr="00A80B54" w:rsidRDefault="003F0537" w:rsidP="003F0537">
            <w:pPr>
              <w:pStyle w:val="Heading2"/>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i/>
                <w:iCs/>
                <w:sz w:val="22"/>
                <w:szCs w:val="22"/>
              </w:rPr>
            </w:pPr>
            <w:r w:rsidRPr="00A80B54">
              <w:rPr>
                <w:rFonts w:asciiTheme="majorHAnsi" w:hAnsiTheme="majorHAnsi" w:cstheme="majorHAnsi"/>
                <w:color w:val="00CCCC" w:themeColor="accent1"/>
                <w:sz w:val="22"/>
                <w:szCs w:val="22"/>
              </w:rPr>
              <w:t>Forge</w:t>
            </w:r>
            <w:r w:rsidRPr="00A80B54">
              <w:rPr>
                <w:rFonts w:asciiTheme="majorHAnsi" w:hAnsiTheme="majorHAnsi" w:cstheme="majorHAnsi"/>
                <w:sz w:val="22"/>
                <w:szCs w:val="22"/>
              </w:rPr>
              <w:t xml:space="preserve"> </w:t>
            </w:r>
            <w:r w:rsidRPr="00A80B54">
              <w:rPr>
                <w:rFonts w:asciiTheme="majorHAnsi" w:hAnsiTheme="majorHAnsi" w:cstheme="majorHAnsi"/>
                <w:color w:val="auto"/>
                <w:sz w:val="22"/>
                <w:szCs w:val="22"/>
              </w:rPr>
              <w:t>a purposeful career</w:t>
            </w:r>
          </w:p>
          <w:p w14:paraId="415542F1" w14:textId="084CC5B6" w:rsidR="003F0537" w:rsidRPr="00A80B54" w:rsidRDefault="003F0537" w:rsidP="003F0537">
            <w:pPr>
              <w:pStyle w:val="ListParagrap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21"/>
                <w:szCs w:val="21"/>
              </w:rPr>
            </w:pPr>
            <w:r w:rsidRPr="00A80B54">
              <w:rPr>
                <w:rFonts w:asciiTheme="majorHAnsi" w:hAnsiTheme="majorHAnsi" w:cstheme="majorHAnsi"/>
                <w:b w:val="0"/>
                <w:bCs w:val="0"/>
                <w:color w:val="auto"/>
                <w:sz w:val="21"/>
                <w:szCs w:val="21"/>
              </w:rPr>
              <w:t xml:space="preserve">Develop yourself personally and professionally by contributing to some of the most inspiring export and investment projects on a global level. </w:t>
            </w:r>
          </w:p>
          <w:p w14:paraId="61A8532A" w14:textId="04498068" w:rsidR="003F0537" w:rsidRPr="00A80B54" w:rsidRDefault="003F0537" w:rsidP="000434F6">
            <w:pPr>
              <w:pStyle w:val="ListParagraph"/>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themeColor="text1"/>
                <w:sz w:val="22"/>
              </w:rPr>
            </w:pPr>
            <w:r w:rsidRPr="00A80B54">
              <w:rPr>
                <w:rFonts w:asciiTheme="majorHAnsi" w:hAnsiTheme="majorHAnsi" w:cstheme="majorHAnsi"/>
                <w:b w:val="0"/>
                <w:bCs w:val="0"/>
                <w:color w:val="auto"/>
                <w:sz w:val="21"/>
                <w:szCs w:val="21"/>
              </w:rPr>
              <w:t>Gain diverse skills and experience through interesting work that will set you up for a unique and purposeful career.</w:t>
            </w:r>
          </w:p>
        </w:tc>
      </w:tr>
      <w:tr w:rsidR="003F0537" w:rsidRPr="00A80B54" w14:paraId="3BCC4D35" w14:textId="77777777" w:rsidTr="00CD2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shd w:val="clear" w:color="auto" w:fill="auto"/>
          </w:tcPr>
          <w:p w14:paraId="357103E6" w14:textId="77777777" w:rsidR="003F0537" w:rsidRPr="00A80B54" w:rsidRDefault="003F0537" w:rsidP="003F0537">
            <w:pPr>
              <w:pStyle w:val="Heading2"/>
              <w:rPr>
                <w:rFonts w:asciiTheme="majorHAnsi" w:hAnsiTheme="majorHAnsi" w:cstheme="majorHAnsi"/>
                <w:b w:val="0"/>
                <w:bCs w:val="0"/>
                <w:color w:val="auto"/>
                <w:sz w:val="22"/>
                <w:szCs w:val="22"/>
              </w:rPr>
            </w:pPr>
            <w:r w:rsidRPr="00A80B54">
              <w:rPr>
                <w:rFonts w:asciiTheme="majorHAnsi" w:hAnsiTheme="majorHAnsi" w:cstheme="majorHAnsi"/>
                <w:color w:val="00CCCC" w:themeColor="accent1"/>
                <w:sz w:val="22"/>
                <w:szCs w:val="22"/>
              </w:rPr>
              <w:t>Shape and share</w:t>
            </w:r>
            <w:r w:rsidRPr="00A80B54">
              <w:rPr>
                <w:rFonts w:asciiTheme="majorHAnsi" w:hAnsiTheme="majorHAnsi" w:cstheme="majorHAnsi"/>
                <w:color w:val="auto"/>
                <w:sz w:val="22"/>
                <w:szCs w:val="22"/>
              </w:rPr>
              <w:t xml:space="preserve"> in our future</w:t>
            </w:r>
          </w:p>
          <w:p w14:paraId="4BAF6818" w14:textId="7AA114FD" w:rsidR="003F0537" w:rsidRPr="00A80B54" w:rsidRDefault="003F0537" w:rsidP="003F0537">
            <w:pPr>
              <w:pStyle w:val="ListParagraph"/>
              <w:rPr>
                <w:rFonts w:asciiTheme="majorHAnsi" w:hAnsiTheme="majorHAnsi" w:cstheme="majorHAnsi"/>
                <w:b w:val="0"/>
                <w:bCs w:val="0"/>
                <w:color w:val="auto"/>
                <w:sz w:val="21"/>
                <w:szCs w:val="21"/>
              </w:rPr>
            </w:pPr>
            <w:proofErr w:type="gramStart"/>
            <w:r w:rsidRPr="00A80B54">
              <w:rPr>
                <w:rFonts w:asciiTheme="majorHAnsi" w:hAnsiTheme="majorHAnsi" w:cstheme="majorHAnsi"/>
                <w:b w:val="0"/>
                <w:bCs w:val="0"/>
                <w:color w:val="auto"/>
                <w:sz w:val="21"/>
                <w:szCs w:val="21"/>
              </w:rPr>
              <w:t>Have the opportunity to</w:t>
            </w:r>
            <w:proofErr w:type="gramEnd"/>
            <w:r w:rsidRPr="00A80B54">
              <w:rPr>
                <w:rFonts w:asciiTheme="majorHAnsi" w:hAnsiTheme="majorHAnsi" w:cstheme="majorHAnsi"/>
                <w:b w:val="0"/>
                <w:bCs w:val="0"/>
                <w:color w:val="auto"/>
                <w:sz w:val="21"/>
                <w:szCs w:val="21"/>
              </w:rPr>
              <w:t xml:space="preserve"> share your knowledge and experience when it comes to supporting businesses that partner with us.</w:t>
            </w:r>
          </w:p>
          <w:p w14:paraId="5F97C819" w14:textId="79D7973C" w:rsidR="003F0537" w:rsidRPr="00A80B54" w:rsidRDefault="003F0537" w:rsidP="00E955FA">
            <w:pPr>
              <w:pStyle w:val="ListParagraph"/>
              <w:rPr>
                <w:rFonts w:asciiTheme="majorHAnsi" w:hAnsiTheme="majorHAnsi" w:cstheme="majorHAnsi"/>
                <w:b w:val="0"/>
                <w:bCs w:val="0"/>
                <w:sz w:val="22"/>
              </w:rPr>
            </w:pPr>
            <w:r w:rsidRPr="00A80B54">
              <w:rPr>
                <w:rFonts w:asciiTheme="majorHAnsi" w:hAnsiTheme="majorHAnsi" w:cstheme="majorHAnsi"/>
                <w:b w:val="0"/>
                <w:bCs w:val="0"/>
                <w:color w:val="auto"/>
                <w:sz w:val="21"/>
                <w:szCs w:val="21"/>
              </w:rPr>
              <w:t>Play an active role when it comes to shaping the direction of TIQ, now and for the future.</w:t>
            </w:r>
          </w:p>
        </w:tc>
        <w:tc>
          <w:tcPr>
            <w:tcW w:w="4820" w:type="dxa"/>
            <w:shd w:val="clear" w:color="auto" w:fill="auto"/>
          </w:tcPr>
          <w:p w14:paraId="23B1D0A9" w14:textId="77777777" w:rsidR="003F0537" w:rsidRPr="00A80B54" w:rsidRDefault="003F0537" w:rsidP="003F0537">
            <w:pPr>
              <w:pStyle w:val="Heading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sz w:val="22"/>
                <w:szCs w:val="22"/>
              </w:rPr>
            </w:pPr>
            <w:r w:rsidRPr="009757EE">
              <w:rPr>
                <w:rFonts w:asciiTheme="majorHAnsi" w:hAnsiTheme="majorHAnsi" w:cstheme="majorHAnsi"/>
                <w:b/>
                <w:bCs/>
                <w:color w:val="00CCCC" w:themeColor="accent1"/>
                <w:sz w:val="22"/>
                <w:szCs w:val="22"/>
              </w:rPr>
              <w:t>Move</w:t>
            </w:r>
            <w:r w:rsidRPr="00A80B54">
              <w:rPr>
                <w:rFonts w:asciiTheme="majorHAnsi" w:hAnsiTheme="majorHAnsi" w:cstheme="majorHAnsi"/>
                <w:sz w:val="22"/>
                <w:szCs w:val="22"/>
              </w:rPr>
              <w:t xml:space="preserve"> </w:t>
            </w:r>
            <w:r w:rsidRPr="00A80B54">
              <w:rPr>
                <w:rFonts w:asciiTheme="majorHAnsi" w:hAnsiTheme="majorHAnsi" w:cstheme="majorHAnsi"/>
                <w:b/>
                <w:bCs/>
                <w:color w:val="auto"/>
                <w:sz w:val="22"/>
                <w:szCs w:val="22"/>
              </w:rPr>
              <w:t>Queensland forward</w:t>
            </w:r>
          </w:p>
          <w:p w14:paraId="5CE44232" w14:textId="4525E190" w:rsidR="003F0537" w:rsidRPr="00A80B54" w:rsidRDefault="003F0537" w:rsidP="00E955FA">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2"/>
              </w:rPr>
            </w:pPr>
            <w:r w:rsidRPr="00A80B54">
              <w:rPr>
                <w:rFonts w:asciiTheme="majorHAnsi" w:hAnsiTheme="majorHAnsi" w:cstheme="majorHAnsi"/>
                <w:color w:val="auto"/>
                <w:sz w:val="21"/>
                <w:szCs w:val="21"/>
              </w:rPr>
              <w:t>Be part of something unique where the projects you work on and the businesses you support not only strengthen Queensland's economy but also have a global impact.</w:t>
            </w:r>
          </w:p>
        </w:tc>
      </w:tr>
    </w:tbl>
    <w:p w14:paraId="4D0BDEF2" w14:textId="28F403EB" w:rsidR="003F0537" w:rsidRPr="00A80B54" w:rsidRDefault="00C22AC3" w:rsidP="00C22AC3">
      <w:pPr>
        <w:spacing w:before="200" w:after="0"/>
        <w:rPr>
          <w:rFonts w:asciiTheme="majorHAnsi" w:hAnsiTheme="majorHAnsi" w:cstheme="majorHAnsi"/>
          <w:sz w:val="22"/>
        </w:rPr>
      </w:pPr>
      <w:r w:rsidRPr="00A80B54">
        <w:rPr>
          <w:rFonts w:asciiTheme="majorHAnsi" w:hAnsiTheme="majorHAnsi" w:cstheme="majorHAnsi"/>
          <w:sz w:val="22"/>
        </w:rPr>
        <w:t xml:space="preserve">To find out more about </w:t>
      </w:r>
      <w:r w:rsidR="00A42508" w:rsidRPr="00A80B54">
        <w:rPr>
          <w:rFonts w:asciiTheme="majorHAnsi" w:hAnsiTheme="majorHAnsi" w:cstheme="majorHAnsi"/>
          <w:sz w:val="22"/>
        </w:rPr>
        <w:t xml:space="preserve">a life at TIQ, </w:t>
      </w:r>
      <w:r w:rsidR="0012150F" w:rsidRPr="00A80B54">
        <w:rPr>
          <w:rFonts w:asciiTheme="majorHAnsi" w:hAnsiTheme="majorHAnsi" w:cstheme="majorHAnsi"/>
          <w:sz w:val="22"/>
        </w:rPr>
        <w:t>visit</w:t>
      </w:r>
      <w:r w:rsidR="002A1ABB" w:rsidRPr="00A80B54">
        <w:rPr>
          <w:rFonts w:asciiTheme="majorHAnsi" w:hAnsiTheme="majorHAnsi" w:cstheme="majorHAnsi"/>
          <w:sz w:val="22"/>
        </w:rPr>
        <w:t xml:space="preserve"> </w:t>
      </w:r>
      <w:hyperlink r:id="rId12" w:history="1">
        <w:r w:rsidR="002A1ABB" w:rsidRPr="00A80B54">
          <w:rPr>
            <w:rStyle w:val="Hyperlink"/>
            <w:rFonts w:asciiTheme="majorHAnsi" w:hAnsiTheme="majorHAnsi" w:cstheme="majorHAnsi"/>
            <w:sz w:val="22"/>
          </w:rPr>
          <w:t>Trade and Investment Queensland: Life | LinkedIn</w:t>
        </w:r>
      </w:hyperlink>
      <w:r w:rsidR="0012150F" w:rsidRPr="00A80B54">
        <w:rPr>
          <w:rFonts w:asciiTheme="majorHAnsi" w:hAnsiTheme="majorHAnsi" w:cstheme="majorHAnsi"/>
          <w:sz w:val="22"/>
        </w:rPr>
        <w:t xml:space="preserve"> and hear more from </w:t>
      </w:r>
      <w:r w:rsidR="00744C62" w:rsidRPr="00A80B54">
        <w:rPr>
          <w:rFonts w:asciiTheme="majorHAnsi" w:hAnsiTheme="majorHAnsi" w:cstheme="majorHAnsi"/>
          <w:sz w:val="22"/>
        </w:rPr>
        <w:t>our</w:t>
      </w:r>
      <w:r w:rsidR="0012150F" w:rsidRPr="00A80B54">
        <w:rPr>
          <w:rFonts w:asciiTheme="majorHAnsi" w:hAnsiTheme="majorHAnsi" w:cstheme="majorHAnsi"/>
          <w:sz w:val="22"/>
        </w:rPr>
        <w:t xml:space="preserve"> employees</w:t>
      </w:r>
      <w:r w:rsidR="005D6B57" w:rsidRPr="00A80B54">
        <w:rPr>
          <w:rFonts w:asciiTheme="majorHAnsi" w:hAnsiTheme="majorHAnsi" w:cstheme="majorHAnsi"/>
          <w:sz w:val="22"/>
        </w:rPr>
        <w:t>.</w:t>
      </w:r>
    </w:p>
    <w:p w14:paraId="160E3EEE" w14:textId="4FF2B00E" w:rsidR="00CD2BD3" w:rsidRPr="00A80B54" w:rsidRDefault="00CD2BD3" w:rsidP="00CD2BD3">
      <w:pPr>
        <w:pStyle w:val="Heading1"/>
        <w:spacing w:before="360"/>
        <w:rPr>
          <w:rFonts w:asciiTheme="majorHAnsi" w:hAnsiTheme="majorHAnsi" w:cstheme="majorHAnsi"/>
          <w:b/>
          <w:bCs/>
        </w:rPr>
      </w:pPr>
      <w:r w:rsidRPr="00A80B54">
        <w:rPr>
          <w:rFonts w:asciiTheme="majorHAnsi" w:hAnsiTheme="majorHAnsi" w:cstheme="majorHAnsi"/>
          <w:b/>
          <w:bCs/>
        </w:rPr>
        <w:t>About us</w:t>
      </w:r>
    </w:p>
    <w:p w14:paraId="65492A22" w14:textId="62A89880" w:rsidR="006355AC" w:rsidRDefault="00CD2BD3" w:rsidP="00CD2BD3">
      <w:pPr>
        <w:rPr>
          <w:rFonts w:asciiTheme="majorHAnsi" w:hAnsiTheme="majorHAnsi" w:cstheme="majorHAnsi"/>
          <w:sz w:val="22"/>
        </w:rPr>
      </w:pPr>
      <w:r w:rsidRPr="00A80B54">
        <w:rPr>
          <w:rFonts w:asciiTheme="majorHAnsi" w:hAnsiTheme="majorHAnsi" w:cstheme="majorHAnsi"/>
          <w:sz w:val="22"/>
        </w:rPr>
        <w:t xml:space="preserve">Trade and Investment Queensland (TIQ) </w:t>
      </w:r>
      <w:proofErr w:type="gramStart"/>
      <w:r w:rsidRPr="00A80B54">
        <w:rPr>
          <w:rFonts w:asciiTheme="majorHAnsi" w:hAnsiTheme="majorHAnsi" w:cstheme="majorHAnsi"/>
          <w:sz w:val="22"/>
        </w:rPr>
        <w:t>is</w:t>
      </w:r>
      <w:proofErr w:type="gramEnd"/>
      <w:r w:rsidRPr="00A80B54">
        <w:rPr>
          <w:rFonts w:asciiTheme="majorHAnsi" w:hAnsiTheme="majorHAnsi" w:cstheme="majorHAnsi"/>
          <w:sz w:val="22"/>
        </w:rPr>
        <w:t xml:space="preserve"> the Queensland Government’s dedicated global business agency, where the work we do is truly unique. We shape, promote and strengthen Queensland by facilitating some of the most exciting import, export and investment projects in the world. </w:t>
      </w:r>
      <w:r w:rsidR="00620F01">
        <w:rPr>
          <w:rFonts w:asciiTheme="majorHAnsi" w:hAnsiTheme="majorHAnsi" w:cstheme="majorHAnsi"/>
          <w:sz w:val="22"/>
        </w:rPr>
        <w:t>TI</w:t>
      </w:r>
      <w:r w:rsidR="00180F27">
        <w:rPr>
          <w:rFonts w:asciiTheme="majorHAnsi" w:hAnsiTheme="majorHAnsi" w:cstheme="majorHAnsi"/>
          <w:sz w:val="22"/>
        </w:rPr>
        <w:t>Q</w:t>
      </w:r>
      <w:r w:rsidR="00620F01">
        <w:rPr>
          <w:rFonts w:asciiTheme="majorHAnsi" w:hAnsiTheme="majorHAnsi" w:cstheme="majorHAnsi"/>
          <w:sz w:val="22"/>
        </w:rPr>
        <w:t xml:space="preserve"> supports th</w:t>
      </w:r>
      <w:r w:rsidR="00180F27">
        <w:rPr>
          <w:rFonts w:asciiTheme="majorHAnsi" w:hAnsiTheme="majorHAnsi" w:cstheme="majorHAnsi"/>
          <w:sz w:val="22"/>
        </w:rPr>
        <w:t xml:space="preserve">e </w:t>
      </w:r>
      <w:r w:rsidR="00620F01">
        <w:rPr>
          <w:rFonts w:asciiTheme="majorHAnsi" w:hAnsiTheme="majorHAnsi" w:cstheme="majorHAnsi"/>
          <w:sz w:val="22"/>
        </w:rPr>
        <w:t xml:space="preserve">world to </w:t>
      </w:r>
      <w:r w:rsidR="006E3F26">
        <w:rPr>
          <w:rFonts w:asciiTheme="majorHAnsi" w:hAnsiTheme="majorHAnsi" w:cstheme="majorHAnsi"/>
          <w:sz w:val="22"/>
        </w:rPr>
        <w:t>trade, invest, study and</w:t>
      </w:r>
      <w:r w:rsidR="00620F01">
        <w:rPr>
          <w:rFonts w:asciiTheme="majorHAnsi" w:hAnsiTheme="majorHAnsi" w:cstheme="majorHAnsi"/>
          <w:sz w:val="22"/>
        </w:rPr>
        <w:t xml:space="preserve"> </w:t>
      </w:r>
      <w:r w:rsidR="006E3F26">
        <w:rPr>
          <w:rFonts w:asciiTheme="majorHAnsi" w:hAnsiTheme="majorHAnsi" w:cstheme="majorHAnsi"/>
          <w:sz w:val="22"/>
        </w:rPr>
        <w:t>work</w:t>
      </w:r>
      <w:r w:rsidR="00620F01">
        <w:rPr>
          <w:rFonts w:asciiTheme="majorHAnsi" w:hAnsiTheme="majorHAnsi" w:cstheme="majorHAnsi"/>
          <w:sz w:val="22"/>
        </w:rPr>
        <w:t xml:space="preserve"> in </w:t>
      </w:r>
      <w:r w:rsidR="00180F27">
        <w:rPr>
          <w:rFonts w:asciiTheme="majorHAnsi" w:hAnsiTheme="majorHAnsi" w:cstheme="majorHAnsi"/>
          <w:sz w:val="22"/>
        </w:rPr>
        <w:t>Queensland</w:t>
      </w:r>
      <w:r w:rsidR="00620F01">
        <w:rPr>
          <w:rFonts w:asciiTheme="majorHAnsi" w:hAnsiTheme="majorHAnsi" w:cstheme="majorHAnsi"/>
          <w:sz w:val="22"/>
        </w:rPr>
        <w:t xml:space="preserve"> via an exten</w:t>
      </w:r>
      <w:r w:rsidR="00180F27">
        <w:rPr>
          <w:rFonts w:asciiTheme="majorHAnsi" w:hAnsiTheme="majorHAnsi" w:cstheme="majorHAnsi"/>
          <w:sz w:val="22"/>
        </w:rPr>
        <w:t>sive regional and global network of 280+ staff</w:t>
      </w:r>
      <w:r w:rsidR="006B7A72">
        <w:rPr>
          <w:rFonts w:asciiTheme="majorHAnsi" w:hAnsiTheme="majorHAnsi" w:cstheme="majorHAnsi"/>
          <w:sz w:val="22"/>
        </w:rPr>
        <w:t xml:space="preserve"> </w:t>
      </w:r>
      <w:r w:rsidR="006E3F26">
        <w:rPr>
          <w:rFonts w:asciiTheme="majorHAnsi" w:hAnsiTheme="majorHAnsi" w:cstheme="majorHAnsi"/>
          <w:sz w:val="22"/>
        </w:rPr>
        <w:t xml:space="preserve">- </w:t>
      </w:r>
      <w:r w:rsidR="006B7A72">
        <w:rPr>
          <w:rFonts w:asciiTheme="majorHAnsi" w:hAnsiTheme="majorHAnsi" w:cstheme="majorHAnsi"/>
          <w:sz w:val="22"/>
        </w:rPr>
        <w:t xml:space="preserve">who are </w:t>
      </w:r>
      <w:r w:rsidRPr="00A80B54">
        <w:rPr>
          <w:rFonts w:asciiTheme="majorHAnsi" w:hAnsiTheme="majorHAnsi" w:cstheme="majorHAnsi"/>
          <w:sz w:val="22"/>
        </w:rPr>
        <w:t xml:space="preserve">part of the journey in helping us move Queensland forward. </w:t>
      </w:r>
      <w:r w:rsidRPr="00A80B54">
        <w:rPr>
          <w:rFonts w:asciiTheme="majorHAnsi" w:eastAsiaTheme="minorEastAsia" w:hAnsiTheme="majorHAnsi" w:cstheme="majorHAnsi"/>
          <w:sz w:val="22"/>
        </w:rPr>
        <w:t xml:space="preserve">Find out more at </w:t>
      </w:r>
      <w:hyperlink r:id="rId13">
        <w:r w:rsidRPr="00A80B54">
          <w:rPr>
            <w:rStyle w:val="Hyperlink"/>
            <w:rFonts w:asciiTheme="majorHAnsi" w:eastAsiaTheme="minorEastAsia" w:hAnsiTheme="majorHAnsi" w:cstheme="majorHAnsi"/>
            <w:sz w:val="22"/>
          </w:rPr>
          <w:t>https://www.tiq.qld.gov.au</w:t>
        </w:r>
      </w:hyperlink>
      <w:r w:rsidR="00F832C2">
        <w:rPr>
          <w:rFonts w:asciiTheme="majorHAnsi" w:hAnsiTheme="majorHAnsi" w:cstheme="majorHAnsi"/>
          <w:sz w:val="22"/>
        </w:rPr>
        <w:t xml:space="preserve">. </w:t>
      </w:r>
    </w:p>
    <w:p w14:paraId="74F9FA4A" w14:textId="6CE549E0" w:rsidR="0073261D" w:rsidRDefault="0073261D" w:rsidP="0018233B">
      <w:pPr>
        <w:pStyle w:val="Heading1"/>
        <w:rPr>
          <w:rFonts w:asciiTheme="majorHAnsi" w:hAnsiTheme="majorHAnsi" w:cstheme="majorHAnsi"/>
          <w:b/>
          <w:bCs/>
        </w:rPr>
      </w:pPr>
      <w:r w:rsidRPr="00A80B54">
        <w:rPr>
          <w:rFonts w:asciiTheme="majorHAnsi" w:hAnsiTheme="majorHAnsi" w:cstheme="majorHAnsi"/>
          <w:b/>
          <w:bCs/>
        </w:rPr>
        <w:lastRenderedPageBreak/>
        <w:t xml:space="preserve">About the </w:t>
      </w:r>
      <w:r w:rsidR="00014981">
        <w:rPr>
          <w:rFonts w:asciiTheme="majorHAnsi" w:hAnsiTheme="majorHAnsi" w:cstheme="majorHAnsi"/>
          <w:b/>
          <w:bCs/>
        </w:rPr>
        <w:t>role</w:t>
      </w:r>
    </w:p>
    <w:p w14:paraId="1A466056" w14:textId="5009AC36" w:rsidR="00F61D82" w:rsidRPr="00F61D82" w:rsidRDefault="00F61D82" w:rsidP="00F61D82">
      <w:pPr>
        <w:rPr>
          <w:rFonts w:asciiTheme="majorHAnsi" w:hAnsiTheme="majorHAnsi" w:cstheme="majorHAnsi"/>
          <w:sz w:val="22"/>
        </w:rPr>
      </w:pPr>
      <w:r w:rsidRPr="00F61D82">
        <w:rPr>
          <w:rFonts w:asciiTheme="majorHAnsi" w:hAnsiTheme="majorHAnsi" w:cstheme="majorHAnsi"/>
          <w:sz w:val="22"/>
        </w:rPr>
        <w:t>The Deputy Chief Executive Officer (DCEO) is the agency’s most senior corporate executive and acts as the</w:t>
      </w:r>
      <w:r>
        <w:rPr>
          <w:rFonts w:asciiTheme="majorHAnsi" w:hAnsiTheme="majorHAnsi" w:cstheme="majorHAnsi"/>
          <w:sz w:val="22"/>
        </w:rPr>
        <w:t xml:space="preserve"> </w:t>
      </w:r>
      <w:r w:rsidRPr="00F61D82">
        <w:rPr>
          <w:rFonts w:asciiTheme="majorHAnsi" w:hAnsiTheme="majorHAnsi" w:cstheme="majorHAnsi"/>
          <w:sz w:val="22"/>
        </w:rPr>
        <w:t>CEO’s primary deputy. This SES 3 (Low) role ensures TIQ runs with discipline, integrity, and delivery focus.</w:t>
      </w:r>
    </w:p>
    <w:p w14:paraId="78E7299A" w14:textId="01B71F95" w:rsidR="00F61D82" w:rsidRDefault="00F61D82" w:rsidP="00F61D82">
      <w:pPr>
        <w:rPr>
          <w:rFonts w:asciiTheme="majorHAnsi" w:hAnsiTheme="majorHAnsi" w:cstheme="majorHAnsi"/>
          <w:sz w:val="22"/>
        </w:rPr>
      </w:pPr>
      <w:r w:rsidRPr="00F61D82">
        <w:rPr>
          <w:rFonts w:asciiTheme="majorHAnsi" w:hAnsiTheme="majorHAnsi" w:cstheme="majorHAnsi"/>
          <w:sz w:val="22"/>
        </w:rPr>
        <w:t xml:space="preserve">The DCEO leads TIQ’s corporate and operational functions </w:t>
      </w:r>
      <w:r>
        <w:rPr>
          <w:rFonts w:asciiTheme="majorHAnsi" w:hAnsiTheme="majorHAnsi" w:cstheme="majorHAnsi"/>
          <w:sz w:val="22"/>
        </w:rPr>
        <w:t>-</w:t>
      </w:r>
      <w:r w:rsidRPr="00F61D82">
        <w:rPr>
          <w:rFonts w:asciiTheme="majorHAnsi" w:hAnsiTheme="majorHAnsi" w:cstheme="majorHAnsi"/>
          <w:sz w:val="22"/>
        </w:rPr>
        <w:t xml:space="preserve"> overseeing Finance, ICT, HR, Legal,</w:t>
      </w:r>
      <w:r>
        <w:rPr>
          <w:rFonts w:asciiTheme="majorHAnsi" w:hAnsiTheme="majorHAnsi" w:cstheme="majorHAnsi"/>
          <w:sz w:val="22"/>
        </w:rPr>
        <w:t xml:space="preserve"> </w:t>
      </w:r>
      <w:r w:rsidRPr="00F61D82">
        <w:rPr>
          <w:rFonts w:asciiTheme="majorHAnsi" w:hAnsiTheme="majorHAnsi" w:cstheme="majorHAnsi"/>
          <w:sz w:val="22"/>
        </w:rPr>
        <w:t>Governance, Risk, Procurement, Strategy, and Performance. They manage the General Managers and</w:t>
      </w:r>
      <w:r>
        <w:rPr>
          <w:rFonts w:asciiTheme="majorHAnsi" w:hAnsiTheme="majorHAnsi" w:cstheme="majorHAnsi"/>
          <w:sz w:val="22"/>
        </w:rPr>
        <w:t xml:space="preserve"> </w:t>
      </w:r>
      <w:r w:rsidRPr="00F61D82">
        <w:rPr>
          <w:rFonts w:asciiTheme="majorHAnsi" w:hAnsiTheme="majorHAnsi" w:cstheme="majorHAnsi"/>
          <w:sz w:val="22"/>
        </w:rPr>
        <w:t>Executive Directors across TIQ’s domestic and international footprint and ensure the agency meets its</w:t>
      </w:r>
      <w:r>
        <w:rPr>
          <w:rFonts w:asciiTheme="majorHAnsi" w:hAnsiTheme="majorHAnsi" w:cstheme="majorHAnsi"/>
          <w:sz w:val="22"/>
        </w:rPr>
        <w:t xml:space="preserve"> </w:t>
      </w:r>
      <w:r w:rsidRPr="00F61D82">
        <w:rPr>
          <w:rFonts w:asciiTheme="majorHAnsi" w:hAnsiTheme="majorHAnsi" w:cstheme="majorHAnsi"/>
          <w:sz w:val="22"/>
        </w:rPr>
        <w:t>statutory obligations, strategic objectives, and budget commitments.</w:t>
      </w:r>
    </w:p>
    <w:p w14:paraId="10D1E271" w14:textId="0AFFB520" w:rsidR="008033A0" w:rsidRPr="00F61D82" w:rsidRDefault="00F61D82" w:rsidP="00F61D82">
      <w:pPr>
        <w:rPr>
          <w:rFonts w:asciiTheme="majorHAnsi" w:hAnsiTheme="majorHAnsi" w:cstheme="majorHAnsi"/>
          <w:sz w:val="22"/>
        </w:rPr>
      </w:pPr>
      <w:r w:rsidRPr="00F61D82">
        <w:rPr>
          <w:rFonts w:asciiTheme="majorHAnsi" w:hAnsiTheme="majorHAnsi" w:cstheme="majorHAnsi"/>
          <w:sz w:val="22"/>
        </w:rPr>
        <w:t>Working in full alignment with the CEO, the DCEO plays a central role in delivering the Queensland</w:t>
      </w:r>
      <w:r>
        <w:rPr>
          <w:rFonts w:asciiTheme="majorHAnsi" w:hAnsiTheme="majorHAnsi" w:cstheme="majorHAnsi"/>
          <w:sz w:val="22"/>
        </w:rPr>
        <w:t xml:space="preserve"> </w:t>
      </w:r>
      <w:r w:rsidRPr="00F61D82">
        <w:rPr>
          <w:rFonts w:asciiTheme="majorHAnsi" w:hAnsiTheme="majorHAnsi" w:cstheme="majorHAnsi"/>
          <w:sz w:val="22"/>
        </w:rPr>
        <w:t>Government’s trade and investment priorities and shaping the systems that enable global impact.</w:t>
      </w:r>
    </w:p>
    <w:p w14:paraId="27BFE6FF" w14:textId="15B6CBE1" w:rsidR="00495813" w:rsidRPr="006355AC" w:rsidRDefault="00171C10" w:rsidP="00495813">
      <w:pPr>
        <w:pStyle w:val="Heading1"/>
        <w:rPr>
          <w:rFonts w:asciiTheme="majorHAnsi" w:hAnsiTheme="majorHAnsi" w:cstheme="majorHAnsi"/>
          <w:b/>
          <w:bCs/>
        </w:rPr>
      </w:pPr>
      <w:r w:rsidRPr="006355AC">
        <w:rPr>
          <w:rFonts w:asciiTheme="majorHAnsi" w:hAnsiTheme="majorHAnsi" w:cstheme="majorHAnsi"/>
          <w:b/>
          <w:bCs/>
        </w:rPr>
        <w:t>Key responsibilities</w:t>
      </w:r>
    </w:p>
    <w:p w14:paraId="5068A094" w14:textId="76902070" w:rsidR="00DA06A8" w:rsidRDefault="00DA06A8" w:rsidP="008D0392">
      <w:pPr>
        <w:rPr>
          <w:rFonts w:asciiTheme="majorHAnsi" w:hAnsiTheme="majorHAnsi" w:cstheme="majorHAnsi"/>
          <w:sz w:val="22"/>
        </w:rPr>
      </w:pPr>
      <w:r w:rsidRPr="00DA06A8">
        <w:rPr>
          <w:rFonts w:asciiTheme="majorHAnsi" w:hAnsiTheme="majorHAnsi" w:cstheme="majorHAnsi"/>
          <w:sz w:val="22"/>
        </w:rPr>
        <w:t xml:space="preserve">As the CEO’s principal deputy, the DCEO plays a central role in shaping organisational direction, driving performance and ensuring </w:t>
      </w:r>
      <w:r w:rsidR="00CF0183">
        <w:rPr>
          <w:rFonts w:asciiTheme="majorHAnsi" w:hAnsiTheme="majorHAnsi" w:cstheme="majorHAnsi"/>
          <w:sz w:val="22"/>
        </w:rPr>
        <w:t>TIQ</w:t>
      </w:r>
      <w:r w:rsidRPr="00DA06A8">
        <w:rPr>
          <w:rFonts w:asciiTheme="majorHAnsi" w:hAnsiTheme="majorHAnsi" w:cstheme="majorHAnsi"/>
          <w:sz w:val="22"/>
        </w:rPr>
        <w:t xml:space="preserve"> is positioned to deliver long-term economic and strategic outcomes.</w:t>
      </w:r>
      <w:r w:rsidRPr="00DA06A8">
        <w:t xml:space="preserve"> </w:t>
      </w:r>
      <w:r w:rsidRPr="00DA06A8">
        <w:rPr>
          <w:rFonts w:asciiTheme="majorHAnsi" w:hAnsiTheme="majorHAnsi" w:cstheme="majorHAnsi"/>
          <w:sz w:val="22"/>
        </w:rPr>
        <w:t>This role is critical to ensuring the organisation delivers on its strategic priorities and operates as a unified, high-performing enterprise.</w:t>
      </w:r>
    </w:p>
    <w:p w14:paraId="6AD10F9B" w14:textId="6F1EC1E4" w:rsidR="00DA06A8" w:rsidRDefault="00DA06A8" w:rsidP="008D0392">
      <w:pPr>
        <w:rPr>
          <w:rFonts w:asciiTheme="majorHAnsi" w:hAnsiTheme="majorHAnsi" w:cstheme="majorHAnsi"/>
          <w:sz w:val="22"/>
        </w:rPr>
      </w:pPr>
      <w:r>
        <w:rPr>
          <w:rFonts w:asciiTheme="majorHAnsi" w:hAnsiTheme="majorHAnsi" w:cstheme="majorHAnsi"/>
          <w:sz w:val="22"/>
        </w:rPr>
        <w:t xml:space="preserve">Some of your responsibilities include: </w:t>
      </w:r>
    </w:p>
    <w:p w14:paraId="5E1E253C" w14:textId="77777777" w:rsidR="00432433" w:rsidRDefault="00432433" w:rsidP="00BA07D5">
      <w:pPr>
        <w:pStyle w:val="ListParagraph"/>
        <w:numPr>
          <w:ilvl w:val="0"/>
          <w:numId w:val="6"/>
        </w:numPr>
        <w:rPr>
          <w:rFonts w:asciiTheme="majorHAnsi" w:hAnsiTheme="majorHAnsi" w:cstheme="majorHAnsi"/>
          <w:b/>
          <w:bCs/>
          <w:sz w:val="22"/>
        </w:rPr>
      </w:pPr>
      <w:r w:rsidRPr="00432433">
        <w:rPr>
          <w:rFonts w:asciiTheme="majorHAnsi" w:hAnsiTheme="majorHAnsi" w:cstheme="majorHAnsi"/>
          <w:b/>
          <w:bCs/>
          <w:sz w:val="22"/>
        </w:rPr>
        <w:t>People Management</w:t>
      </w:r>
    </w:p>
    <w:p w14:paraId="45650F9A" w14:textId="5076D8E9" w:rsidR="00432433" w:rsidRPr="00FF1985" w:rsidRDefault="00432433"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Partner with the CEO to lead the delivery of the Queensland Government’s Trade and Investment</w:t>
      </w:r>
      <w:r w:rsidR="00FF1985">
        <w:rPr>
          <w:rFonts w:asciiTheme="majorHAnsi" w:hAnsiTheme="majorHAnsi" w:cstheme="majorHAnsi"/>
          <w:sz w:val="22"/>
        </w:rPr>
        <w:t xml:space="preserve"> </w:t>
      </w:r>
      <w:r w:rsidRPr="00FF1985">
        <w:rPr>
          <w:rFonts w:asciiTheme="majorHAnsi" w:hAnsiTheme="majorHAnsi" w:cstheme="majorHAnsi"/>
          <w:sz w:val="22"/>
        </w:rPr>
        <w:t>priorities and strategic direction.</w:t>
      </w:r>
    </w:p>
    <w:p w14:paraId="17AC1B5B" w14:textId="3BC2ED2A" w:rsidR="00432433" w:rsidRPr="00FF1985" w:rsidRDefault="00432433"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Ensure Queensland is well positioned to benefit from free trade agreements, emerging markets and</w:t>
      </w:r>
      <w:r w:rsidR="00FF1985">
        <w:rPr>
          <w:rFonts w:asciiTheme="majorHAnsi" w:hAnsiTheme="majorHAnsi" w:cstheme="majorHAnsi"/>
          <w:sz w:val="22"/>
        </w:rPr>
        <w:t xml:space="preserve"> </w:t>
      </w:r>
      <w:r w:rsidRPr="00FF1985">
        <w:rPr>
          <w:rFonts w:asciiTheme="majorHAnsi" w:hAnsiTheme="majorHAnsi" w:cstheme="majorHAnsi"/>
          <w:sz w:val="22"/>
        </w:rPr>
        <w:t>global megatrends affecting supply chains.</w:t>
      </w:r>
    </w:p>
    <w:p w14:paraId="290AD8FC" w14:textId="0A67F061" w:rsidR="00432433" w:rsidRPr="00FF1985" w:rsidRDefault="00432433"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Lead TIQ’s corporate performance, budgeting, internal controls, compliance and reporting functions,</w:t>
      </w:r>
      <w:r w:rsidR="00FF1985">
        <w:rPr>
          <w:rFonts w:asciiTheme="majorHAnsi" w:hAnsiTheme="majorHAnsi" w:cstheme="majorHAnsi"/>
          <w:sz w:val="22"/>
        </w:rPr>
        <w:t xml:space="preserve"> </w:t>
      </w:r>
      <w:r w:rsidRPr="00FF1985">
        <w:rPr>
          <w:rFonts w:asciiTheme="majorHAnsi" w:hAnsiTheme="majorHAnsi" w:cstheme="majorHAnsi"/>
          <w:sz w:val="22"/>
        </w:rPr>
        <w:t>providing regular advice to the Board and AFRMC.</w:t>
      </w:r>
    </w:p>
    <w:p w14:paraId="5FD44AA6" w14:textId="47047C07" w:rsidR="00432433" w:rsidRPr="00FF1985" w:rsidRDefault="00432433"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Monitor and oversee risk management, legal compliance, and ethical operations in line with public</w:t>
      </w:r>
      <w:r w:rsidR="00FF1985">
        <w:rPr>
          <w:rFonts w:asciiTheme="majorHAnsi" w:hAnsiTheme="majorHAnsi" w:cstheme="majorHAnsi"/>
          <w:sz w:val="22"/>
        </w:rPr>
        <w:t xml:space="preserve"> </w:t>
      </w:r>
      <w:r w:rsidRPr="00FF1985">
        <w:rPr>
          <w:rFonts w:asciiTheme="majorHAnsi" w:hAnsiTheme="majorHAnsi" w:cstheme="majorHAnsi"/>
          <w:sz w:val="22"/>
        </w:rPr>
        <w:t>sector standards.</w:t>
      </w:r>
    </w:p>
    <w:p w14:paraId="4E46578D" w14:textId="5D6AC285" w:rsidR="00432433" w:rsidRPr="00FF1985" w:rsidRDefault="00432433"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Provide strong leadership to TIQ’s executive team (General Managers and Executive Directors),</w:t>
      </w:r>
      <w:r w:rsidR="00FF1985">
        <w:rPr>
          <w:rFonts w:asciiTheme="majorHAnsi" w:hAnsiTheme="majorHAnsi" w:cstheme="majorHAnsi"/>
          <w:sz w:val="22"/>
        </w:rPr>
        <w:t xml:space="preserve"> </w:t>
      </w:r>
      <w:r w:rsidRPr="00FF1985">
        <w:rPr>
          <w:rFonts w:asciiTheme="majorHAnsi" w:hAnsiTheme="majorHAnsi" w:cstheme="majorHAnsi"/>
          <w:sz w:val="22"/>
        </w:rPr>
        <w:t>creating a high-performing, accountable and cohesive culture, by ensuring participation and</w:t>
      </w:r>
      <w:r w:rsidR="00FF1985">
        <w:rPr>
          <w:rFonts w:asciiTheme="majorHAnsi" w:hAnsiTheme="majorHAnsi" w:cstheme="majorHAnsi"/>
          <w:sz w:val="22"/>
        </w:rPr>
        <w:t xml:space="preserve"> </w:t>
      </w:r>
      <w:r w:rsidRPr="00FF1985">
        <w:rPr>
          <w:rFonts w:asciiTheme="majorHAnsi" w:hAnsiTheme="majorHAnsi" w:cstheme="majorHAnsi"/>
          <w:sz w:val="22"/>
        </w:rPr>
        <w:t>oversight of Professional Development Agreements.</w:t>
      </w:r>
    </w:p>
    <w:p w14:paraId="302C2C0A" w14:textId="49E8F25D" w:rsidR="00432433" w:rsidRDefault="00432433"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Ensure enterprise-wide alignment of people, systems and operations to TIQ’s Strategic Plan.</w:t>
      </w:r>
    </w:p>
    <w:p w14:paraId="58583389" w14:textId="77777777" w:rsidR="00FF1985" w:rsidRPr="00432433" w:rsidRDefault="00FF1985" w:rsidP="00FF1985">
      <w:pPr>
        <w:pStyle w:val="ListParagraph"/>
        <w:numPr>
          <w:ilvl w:val="0"/>
          <w:numId w:val="0"/>
        </w:numPr>
        <w:ind w:left="1440"/>
        <w:rPr>
          <w:rFonts w:asciiTheme="majorHAnsi" w:hAnsiTheme="majorHAnsi" w:cstheme="majorHAnsi"/>
          <w:sz w:val="22"/>
        </w:rPr>
      </w:pPr>
    </w:p>
    <w:p w14:paraId="662A4750" w14:textId="77777777" w:rsidR="00DC2CA1" w:rsidRPr="00DC2CA1" w:rsidRDefault="00DC2CA1" w:rsidP="00BA07D5">
      <w:pPr>
        <w:pStyle w:val="ListParagraph"/>
        <w:numPr>
          <w:ilvl w:val="0"/>
          <w:numId w:val="6"/>
        </w:numPr>
        <w:rPr>
          <w:rFonts w:asciiTheme="majorHAnsi" w:hAnsiTheme="majorHAnsi" w:cstheme="majorHAnsi"/>
          <w:b/>
          <w:bCs/>
          <w:sz w:val="22"/>
        </w:rPr>
      </w:pPr>
      <w:r w:rsidRPr="00DC2CA1">
        <w:rPr>
          <w:rFonts w:asciiTheme="majorHAnsi" w:hAnsiTheme="majorHAnsi" w:cstheme="majorHAnsi"/>
          <w:b/>
          <w:bCs/>
          <w:sz w:val="22"/>
        </w:rPr>
        <w:t>Programs and Project Management</w:t>
      </w:r>
    </w:p>
    <w:p w14:paraId="0E221837" w14:textId="025C17B1" w:rsidR="00DC2CA1" w:rsidRPr="00FF1985" w:rsidRDefault="00DC2CA1" w:rsidP="00BA07D5">
      <w:pPr>
        <w:pStyle w:val="ListParagraph"/>
        <w:numPr>
          <w:ilvl w:val="1"/>
          <w:numId w:val="6"/>
        </w:numPr>
        <w:rPr>
          <w:rFonts w:asciiTheme="majorHAnsi" w:hAnsiTheme="majorHAnsi" w:cstheme="majorHAnsi"/>
          <w:sz w:val="22"/>
        </w:rPr>
      </w:pPr>
      <w:r w:rsidRPr="00DC2CA1">
        <w:rPr>
          <w:rFonts w:asciiTheme="majorHAnsi" w:hAnsiTheme="majorHAnsi" w:cstheme="majorHAnsi"/>
          <w:sz w:val="22"/>
        </w:rPr>
        <w:t>Lead the delivery of TIQ’s key initiatives and projects to drive trade, investment and global</w:t>
      </w:r>
      <w:r w:rsidR="00FF1985">
        <w:rPr>
          <w:rFonts w:asciiTheme="majorHAnsi" w:hAnsiTheme="majorHAnsi" w:cstheme="majorHAnsi"/>
          <w:sz w:val="22"/>
        </w:rPr>
        <w:t xml:space="preserve"> </w:t>
      </w:r>
      <w:r w:rsidRPr="00FF1985">
        <w:rPr>
          <w:rFonts w:asciiTheme="majorHAnsi" w:hAnsiTheme="majorHAnsi" w:cstheme="majorHAnsi"/>
          <w:sz w:val="22"/>
        </w:rPr>
        <w:t>engagement across priority sectors and regions.</w:t>
      </w:r>
    </w:p>
    <w:p w14:paraId="3CC59F1A" w14:textId="4220EDC3" w:rsidR="00DC2CA1" w:rsidRPr="00FF1985" w:rsidRDefault="00DC2CA1" w:rsidP="00BA07D5">
      <w:pPr>
        <w:pStyle w:val="ListParagraph"/>
        <w:numPr>
          <w:ilvl w:val="1"/>
          <w:numId w:val="6"/>
        </w:numPr>
        <w:rPr>
          <w:rFonts w:asciiTheme="majorHAnsi" w:hAnsiTheme="majorHAnsi" w:cstheme="majorHAnsi"/>
          <w:sz w:val="22"/>
        </w:rPr>
      </w:pPr>
      <w:r w:rsidRPr="00DC2CA1">
        <w:rPr>
          <w:rFonts w:asciiTheme="majorHAnsi" w:hAnsiTheme="majorHAnsi" w:cstheme="majorHAnsi"/>
          <w:sz w:val="22"/>
        </w:rPr>
        <w:t>Work in collaboration with Corporate Services teams and ELT to ensure the organisation has the</w:t>
      </w:r>
      <w:r w:rsidR="00FF1985">
        <w:rPr>
          <w:rFonts w:asciiTheme="majorHAnsi" w:hAnsiTheme="majorHAnsi" w:cstheme="majorHAnsi"/>
          <w:sz w:val="22"/>
        </w:rPr>
        <w:t xml:space="preserve"> </w:t>
      </w:r>
      <w:r w:rsidRPr="00FF1985">
        <w:rPr>
          <w:rFonts w:asciiTheme="majorHAnsi" w:hAnsiTheme="majorHAnsi" w:cstheme="majorHAnsi"/>
          <w:sz w:val="22"/>
        </w:rPr>
        <w:t>systems, processes and workforce capability to implement strategy and adapt to change.</w:t>
      </w:r>
    </w:p>
    <w:p w14:paraId="1DA3CDAC" w14:textId="77777777" w:rsidR="00FF1985" w:rsidRDefault="00DC2CA1" w:rsidP="00BA07D5">
      <w:pPr>
        <w:pStyle w:val="ListParagraph"/>
        <w:numPr>
          <w:ilvl w:val="1"/>
          <w:numId w:val="6"/>
        </w:numPr>
        <w:rPr>
          <w:rFonts w:asciiTheme="majorHAnsi" w:hAnsiTheme="majorHAnsi" w:cstheme="majorHAnsi"/>
          <w:sz w:val="22"/>
        </w:rPr>
      </w:pPr>
      <w:r w:rsidRPr="00DC2CA1">
        <w:rPr>
          <w:rFonts w:asciiTheme="majorHAnsi" w:hAnsiTheme="majorHAnsi" w:cstheme="majorHAnsi"/>
          <w:sz w:val="22"/>
        </w:rPr>
        <w:t>Oversee the delivery of internal transformation, digital uplift and operational reforms that support</w:t>
      </w:r>
      <w:r w:rsidR="00FF1985">
        <w:rPr>
          <w:rFonts w:asciiTheme="majorHAnsi" w:hAnsiTheme="majorHAnsi" w:cstheme="majorHAnsi"/>
          <w:sz w:val="22"/>
        </w:rPr>
        <w:t xml:space="preserve"> </w:t>
      </w:r>
      <w:r w:rsidRPr="00FF1985">
        <w:rPr>
          <w:rFonts w:asciiTheme="majorHAnsi" w:hAnsiTheme="majorHAnsi" w:cstheme="majorHAnsi"/>
          <w:sz w:val="22"/>
        </w:rPr>
        <w:t>TIQ’s global mandate.</w:t>
      </w:r>
    </w:p>
    <w:p w14:paraId="2DC2A3BE" w14:textId="7F7DF16D" w:rsidR="00DC2CA1" w:rsidRDefault="00DC2CA1"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Support and promote innovation, efficiency, and good governance across all business units by ensuring senior leaders are accountable and responsible for the delivery of TIQ strategic and business objectives.</w:t>
      </w:r>
    </w:p>
    <w:p w14:paraId="20E15128" w14:textId="77777777" w:rsidR="00FF1985" w:rsidRPr="00FF1985" w:rsidRDefault="00FF1985" w:rsidP="00FF1985">
      <w:pPr>
        <w:pStyle w:val="ListParagraph"/>
        <w:numPr>
          <w:ilvl w:val="0"/>
          <w:numId w:val="0"/>
        </w:numPr>
        <w:ind w:left="1440"/>
        <w:rPr>
          <w:rFonts w:asciiTheme="majorHAnsi" w:hAnsiTheme="majorHAnsi" w:cstheme="majorHAnsi"/>
          <w:sz w:val="22"/>
        </w:rPr>
      </w:pPr>
    </w:p>
    <w:p w14:paraId="0A231050" w14:textId="77777777" w:rsidR="00DC2CA1" w:rsidRPr="00FF1985" w:rsidRDefault="00DC2CA1" w:rsidP="00BA07D5">
      <w:pPr>
        <w:pStyle w:val="ListParagraph"/>
        <w:numPr>
          <w:ilvl w:val="0"/>
          <w:numId w:val="6"/>
        </w:numPr>
        <w:rPr>
          <w:rFonts w:asciiTheme="majorHAnsi" w:hAnsiTheme="majorHAnsi" w:cstheme="majorHAnsi"/>
          <w:b/>
          <w:bCs/>
          <w:sz w:val="22"/>
        </w:rPr>
      </w:pPr>
      <w:r w:rsidRPr="00FF1985">
        <w:rPr>
          <w:rFonts w:asciiTheme="majorHAnsi" w:hAnsiTheme="majorHAnsi" w:cstheme="majorHAnsi"/>
          <w:b/>
          <w:bCs/>
          <w:sz w:val="22"/>
        </w:rPr>
        <w:t>Policy and Economic Development</w:t>
      </w:r>
    </w:p>
    <w:p w14:paraId="65836A77" w14:textId="37C5F963" w:rsidR="00DC2CA1" w:rsidRPr="00FF1985" w:rsidRDefault="00DC2CA1"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lastRenderedPageBreak/>
        <w:t>Provide quality policy advice on trade, investment, and global business issues to the CEO, Ministers, the Premier and senior government officials.</w:t>
      </w:r>
    </w:p>
    <w:p w14:paraId="549C1A52" w14:textId="5163CAB5" w:rsidR="00DC2CA1" w:rsidRPr="00FF1985" w:rsidRDefault="00DC2CA1"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Demonstrate deep understanding of Queensland’s and Australia’s economic landscape, and how international relationships and investment attraction are critical to long-term prosperity.</w:t>
      </w:r>
    </w:p>
    <w:p w14:paraId="03AA94BC" w14:textId="77777777" w:rsidR="00DC2CA1" w:rsidRPr="00FF1985" w:rsidRDefault="00DC2CA1"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Help shape whole-of-government strategies and implementation plans related to trade and economic development.</w:t>
      </w:r>
    </w:p>
    <w:p w14:paraId="0CC126F3" w14:textId="492A8A84" w:rsidR="00DC2CA1" w:rsidRPr="00FF1985" w:rsidRDefault="00DC2CA1"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Bring insight into geopolitical dynamics, foreign investment trends, and regional economic strengths, ensuring policy and operational coherence.</w:t>
      </w:r>
    </w:p>
    <w:p w14:paraId="1C346B71" w14:textId="77777777" w:rsidR="00DC2CA1" w:rsidRPr="00DC2CA1" w:rsidRDefault="00DC2CA1" w:rsidP="00FF1985">
      <w:pPr>
        <w:pStyle w:val="ListParagraph"/>
        <w:numPr>
          <w:ilvl w:val="0"/>
          <w:numId w:val="0"/>
        </w:numPr>
        <w:autoSpaceDE w:val="0"/>
        <w:autoSpaceDN w:val="0"/>
        <w:adjustRightInd w:val="0"/>
        <w:spacing w:after="0"/>
        <w:ind w:left="720"/>
        <w:rPr>
          <w:rFonts w:ascii="SymbolMT" w:hAnsi="SymbolMT" w:cs="SymbolMT"/>
          <w:szCs w:val="20"/>
          <w:lang w:bidi="hi-IN"/>
        </w:rPr>
      </w:pPr>
    </w:p>
    <w:p w14:paraId="634F6445" w14:textId="63C20842" w:rsidR="00DC2CA1" w:rsidRPr="00FF1985" w:rsidRDefault="00DC2CA1" w:rsidP="00BA07D5">
      <w:pPr>
        <w:pStyle w:val="ListParagraph"/>
        <w:numPr>
          <w:ilvl w:val="0"/>
          <w:numId w:val="6"/>
        </w:numPr>
        <w:rPr>
          <w:rFonts w:asciiTheme="majorHAnsi" w:hAnsiTheme="majorHAnsi" w:cstheme="majorHAnsi"/>
          <w:b/>
          <w:bCs/>
          <w:sz w:val="22"/>
        </w:rPr>
      </w:pPr>
      <w:r w:rsidRPr="00FF1985">
        <w:rPr>
          <w:rFonts w:asciiTheme="majorHAnsi" w:hAnsiTheme="majorHAnsi" w:cstheme="majorHAnsi"/>
          <w:b/>
          <w:bCs/>
          <w:sz w:val="22"/>
        </w:rPr>
        <w:t>Stakeholder Relationships</w:t>
      </w:r>
    </w:p>
    <w:p w14:paraId="18D0E855" w14:textId="494CD8F5" w:rsidR="00DC2CA1" w:rsidRPr="00FF1985" w:rsidRDefault="00DC2CA1"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Build strong and trusted relationships across government and industry to ensure strategic alignment and maximise outcomes.</w:t>
      </w:r>
    </w:p>
    <w:p w14:paraId="09A24898" w14:textId="11DE4DB9" w:rsidR="00DC2CA1" w:rsidRPr="00FF1985" w:rsidRDefault="00DC2CA1"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Lead partnerships with other Queensland departments, the Commonwealth, and international counterparts to advance investment attraction and trade growth.</w:t>
      </w:r>
    </w:p>
    <w:p w14:paraId="55E3F3DD" w14:textId="1F3AEFA8" w:rsidR="00DC2CA1" w:rsidRPr="00FF1985" w:rsidRDefault="00DC2CA1" w:rsidP="00BA07D5">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Represent TIQ in intergovernmental forums, international delegations and ministerial briefings as required.</w:t>
      </w:r>
    </w:p>
    <w:p w14:paraId="101FA42F" w14:textId="0DC6562C" w:rsidR="00F21615" w:rsidRPr="007A5EFF" w:rsidRDefault="00DC2CA1" w:rsidP="007A5EFF">
      <w:pPr>
        <w:pStyle w:val="ListParagraph"/>
        <w:numPr>
          <w:ilvl w:val="1"/>
          <w:numId w:val="6"/>
        </w:numPr>
        <w:rPr>
          <w:rFonts w:asciiTheme="majorHAnsi" w:hAnsiTheme="majorHAnsi" w:cstheme="majorHAnsi"/>
          <w:sz w:val="22"/>
        </w:rPr>
      </w:pPr>
      <w:r w:rsidRPr="00FF1985">
        <w:rPr>
          <w:rFonts w:asciiTheme="majorHAnsi" w:hAnsiTheme="majorHAnsi" w:cstheme="majorHAnsi"/>
          <w:sz w:val="22"/>
        </w:rPr>
        <w:t>Contribute to the development of Queensland’s economy and jobs through trade and investment initiatives, regional engagement, and institutional collaboration.</w:t>
      </w:r>
    </w:p>
    <w:p w14:paraId="2D71901A" w14:textId="4A65196E" w:rsidR="00667D92" w:rsidRDefault="000359C0" w:rsidP="00667D92">
      <w:pPr>
        <w:pStyle w:val="Heading1"/>
        <w:rPr>
          <w:rFonts w:asciiTheme="majorHAnsi" w:hAnsiTheme="majorHAnsi" w:cstheme="majorHAnsi"/>
          <w:b/>
          <w:bCs/>
        </w:rPr>
      </w:pPr>
      <w:r w:rsidRPr="000359C0">
        <w:rPr>
          <w:rFonts w:asciiTheme="majorHAnsi" w:hAnsiTheme="majorHAnsi" w:cstheme="majorHAnsi"/>
          <w:b/>
          <w:bCs/>
        </w:rPr>
        <w:t>What we are looking for</w:t>
      </w:r>
    </w:p>
    <w:p w14:paraId="744B955D" w14:textId="32D41492" w:rsidR="00D1034A" w:rsidRDefault="0004719E" w:rsidP="001209CC">
      <w:pPr>
        <w:rPr>
          <w:rFonts w:asciiTheme="majorHAnsi" w:hAnsiTheme="majorHAnsi" w:cstheme="majorHAnsi"/>
          <w:sz w:val="22"/>
        </w:rPr>
      </w:pPr>
      <w:r w:rsidRPr="0004719E">
        <w:rPr>
          <w:rFonts w:asciiTheme="majorHAnsi" w:hAnsiTheme="majorHAnsi" w:cstheme="majorHAnsi"/>
          <w:sz w:val="22"/>
        </w:rPr>
        <w:t>This role requires an exceptional executive leader with the ability to operate at scale, influence at the highest levels, and deliver results in a complex and dynamic environment.</w:t>
      </w:r>
      <w:r w:rsidR="00D1034A">
        <w:rPr>
          <w:rFonts w:asciiTheme="majorHAnsi" w:hAnsiTheme="majorHAnsi" w:cstheme="majorHAnsi"/>
          <w:sz w:val="22"/>
        </w:rPr>
        <w:t xml:space="preserve"> </w:t>
      </w:r>
      <w:r w:rsidR="00D1034A" w:rsidRPr="00D1034A">
        <w:rPr>
          <w:rFonts w:asciiTheme="majorHAnsi" w:hAnsiTheme="majorHAnsi" w:cstheme="majorHAnsi"/>
          <w:sz w:val="22"/>
        </w:rPr>
        <w:t>The role requires a strong understanding of global markets, trade and investment dynamics, and the policy and economic settings that shape Queensland’s international engagement</w:t>
      </w:r>
      <w:r w:rsidR="00D1034A">
        <w:rPr>
          <w:rFonts w:asciiTheme="majorHAnsi" w:hAnsiTheme="majorHAnsi" w:cstheme="majorHAnsi"/>
          <w:sz w:val="22"/>
        </w:rPr>
        <w:t>.</w:t>
      </w:r>
    </w:p>
    <w:p w14:paraId="1CCAA982" w14:textId="5058A8AB" w:rsidR="00D27C89" w:rsidRPr="00A80B54" w:rsidRDefault="00DA06A8" w:rsidP="001209CC">
      <w:pPr>
        <w:rPr>
          <w:rFonts w:asciiTheme="majorHAnsi" w:hAnsiTheme="majorHAnsi" w:cstheme="majorHAnsi"/>
          <w:sz w:val="22"/>
        </w:rPr>
      </w:pPr>
      <w:r>
        <w:rPr>
          <w:rFonts w:asciiTheme="majorHAnsi" w:hAnsiTheme="majorHAnsi" w:cstheme="majorHAnsi"/>
          <w:sz w:val="22"/>
        </w:rPr>
        <w:t>To be successful in this role, y</w:t>
      </w:r>
      <w:r w:rsidR="007B0B18" w:rsidRPr="00A80B54">
        <w:rPr>
          <w:rFonts w:asciiTheme="majorHAnsi" w:hAnsiTheme="majorHAnsi" w:cstheme="majorHAnsi"/>
          <w:sz w:val="22"/>
        </w:rPr>
        <w:t xml:space="preserve">ou will need to be </w:t>
      </w:r>
      <w:r w:rsidR="00D27C89" w:rsidRPr="00A80B54">
        <w:rPr>
          <w:rFonts w:asciiTheme="majorHAnsi" w:hAnsiTheme="majorHAnsi" w:cstheme="majorHAnsi"/>
          <w:sz w:val="22"/>
        </w:rPr>
        <w:t>able to demonstrate the following:</w:t>
      </w:r>
    </w:p>
    <w:p w14:paraId="520178F0" w14:textId="675C38C6" w:rsidR="00CB625F" w:rsidRDefault="00BB255A" w:rsidP="00BA07D5">
      <w:pPr>
        <w:pStyle w:val="ListParagraph"/>
        <w:numPr>
          <w:ilvl w:val="0"/>
          <w:numId w:val="3"/>
        </w:numPr>
        <w:spacing w:before="60" w:after="0"/>
        <w:rPr>
          <w:rFonts w:asciiTheme="majorHAnsi" w:hAnsiTheme="majorHAnsi" w:cstheme="majorHAnsi"/>
          <w:sz w:val="22"/>
        </w:rPr>
      </w:pPr>
      <w:r w:rsidRPr="00BB255A">
        <w:rPr>
          <w:rFonts w:asciiTheme="majorHAnsi" w:hAnsiTheme="majorHAnsi" w:cstheme="majorHAnsi"/>
          <w:sz w:val="22"/>
        </w:rPr>
        <w:t>Demonstrated experience in trade, investment, economic development or internationally focused portfolios, with an understanding of global markets, investment attraction and export growth</w:t>
      </w:r>
      <w:r w:rsidR="00CB625F">
        <w:rPr>
          <w:rFonts w:asciiTheme="majorHAnsi" w:hAnsiTheme="majorHAnsi" w:cstheme="majorHAnsi"/>
          <w:sz w:val="22"/>
        </w:rPr>
        <w:t>.</w:t>
      </w:r>
    </w:p>
    <w:p w14:paraId="23DEECAB" w14:textId="6EBD93FD" w:rsidR="00F4157D" w:rsidRPr="00F4157D" w:rsidRDefault="00F4157D" w:rsidP="00BA07D5">
      <w:pPr>
        <w:pStyle w:val="ListParagraph"/>
        <w:numPr>
          <w:ilvl w:val="0"/>
          <w:numId w:val="3"/>
        </w:numPr>
        <w:spacing w:before="60"/>
        <w:rPr>
          <w:rFonts w:asciiTheme="majorHAnsi" w:hAnsiTheme="majorHAnsi" w:cstheme="majorHAnsi"/>
          <w:sz w:val="22"/>
        </w:rPr>
      </w:pPr>
      <w:r w:rsidRPr="00CB625F">
        <w:rPr>
          <w:rFonts w:asciiTheme="majorHAnsi" w:hAnsiTheme="majorHAnsi" w:cstheme="majorHAnsi"/>
          <w:sz w:val="22"/>
        </w:rPr>
        <w:t>Deep knowledge of economic development, trade policy, investment attraction and Queensland’s sectoral strengths.</w:t>
      </w:r>
    </w:p>
    <w:p w14:paraId="77002029" w14:textId="0A9A953F" w:rsidR="00CB625F" w:rsidRPr="00CB625F" w:rsidRDefault="00CB625F" w:rsidP="00BA07D5">
      <w:pPr>
        <w:pStyle w:val="ListParagraph"/>
        <w:numPr>
          <w:ilvl w:val="0"/>
          <w:numId w:val="3"/>
        </w:numPr>
        <w:spacing w:before="60"/>
        <w:rPr>
          <w:rFonts w:asciiTheme="majorHAnsi" w:hAnsiTheme="majorHAnsi" w:cstheme="majorHAnsi"/>
          <w:sz w:val="22"/>
        </w:rPr>
      </w:pPr>
      <w:r w:rsidRPr="00CB625F">
        <w:rPr>
          <w:rFonts w:asciiTheme="majorHAnsi" w:hAnsiTheme="majorHAnsi" w:cstheme="majorHAnsi"/>
          <w:sz w:val="22"/>
        </w:rPr>
        <w:t>Proven success as a senior executive in government or globally connected organisations, with experience leading large corporate and operational functions</w:t>
      </w:r>
      <w:r>
        <w:rPr>
          <w:rFonts w:asciiTheme="majorHAnsi" w:hAnsiTheme="majorHAnsi" w:cstheme="majorHAnsi"/>
          <w:sz w:val="22"/>
        </w:rPr>
        <w:t>.</w:t>
      </w:r>
    </w:p>
    <w:p w14:paraId="38AF3654" w14:textId="5ADEAD91" w:rsidR="00874E2D" w:rsidRDefault="00CB625F" w:rsidP="00BA07D5">
      <w:pPr>
        <w:pStyle w:val="ListParagraph"/>
        <w:numPr>
          <w:ilvl w:val="0"/>
          <w:numId w:val="3"/>
        </w:numPr>
        <w:spacing w:before="60" w:after="0"/>
        <w:rPr>
          <w:rFonts w:asciiTheme="majorHAnsi" w:hAnsiTheme="majorHAnsi" w:cstheme="majorHAnsi"/>
          <w:sz w:val="22"/>
        </w:rPr>
      </w:pPr>
      <w:r w:rsidRPr="00CB625F">
        <w:rPr>
          <w:rFonts w:asciiTheme="majorHAnsi" w:hAnsiTheme="majorHAnsi" w:cstheme="majorHAnsi"/>
          <w:sz w:val="22"/>
        </w:rPr>
        <w:t>Executive-level experience within a state or federal government agency or strong understanding of public sector governance, budgeting, risk and compliance frameworks.</w:t>
      </w:r>
      <w:r w:rsidR="00D1034A">
        <w:rPr>
          <w:rFonts w:asciiTheme="majorHAnsi" w:hAnsiTheme="majorHAnsi" w:cstheme="majorHAnsi"/>
          <w:sz w:val="22"/>
        </w:rPr>
        <w:t xml:space="preserve"> </w:t>
      </w:r>
    </w:p>
    <w:p w14:paraId="4054E710" w14:textId="25596019" w:rsidR="00CB625F" w:rsidRPr="00CB625F" w:rsidRDefault="00CB625F" w:rsidP="00BA07D5">
      <w:pPr>
        <w:pStyle w:val="ListParagraph"/>
        <w:numPr>
          <w:ilvl w:val="0"/>
          <w:numId w:val="3"/>
        </w:numPr>
        <w:spacing w:before="60"/>
        <w:rPr>
          <w:rFonts w:asciiTheme="majorHAnsi" w:hAnsiTheme="majorHAnsi" w:cstheme="majorHAnsi"/>
          <w:sz w:val="22"/>
        </w:rPr>
      </w:pPr>
      <w:r w:rsidRPr="00CB625F">
        <w:rPr>
          <w:rFonts w:asciiTheme="majorHAnsi" w:hAnsiTheme="majorHAnsi" w:cstheme="majorHAnsi"/>
          <w:sz w:val="22"/>
        </w:rPr>
        <w:t xml:space="preserve">Strong international literacy </w:t>
      </w:r>
      <w:r>
        <w:rPr>
          <w:rFonts w:asciiTheme="majorHAnsi" w:hAnsiTheme="majorHAnsi" w:cstheme="majorHAnsi"/>
          <w:sz w:val="22"/>
        </w:rPr>
        <w:t>-</w:t>
      </w:r>
      <w:r w:rsidRPr="00CB625F">
        <w:rPr>
          <w:rFonts w:asciiTheme="majorHAnsi" w:hAnsiTheme="majorHAnsi" w:cstheme="majorHAnsi"/>
          <w:sz w:val="22"/>
        </w:rPr>
        <w:t xml:space="preserve"> understanding the global business environment and Australia’s key trade and diplomatic relationships.</w:t>
      </w:r>
    </w:p>
    <w:p w14:paraId="3CA00174" w14:textId="524ECA60" w:rsidR="00CB625F" w:rsidRPr="00CB625F" w:rsidRDefault="00CB625F" w:rsidP="00BA07D5">
      <w:pPr>
        <w:pStyle w:val="ListParagraph"/>
        <w:numPr>
          <w:ilvl w:val="0"/>
          <w:numId w:val="3"/>
        </w:numPr>
        <w:spacing w:before="60"/>
        <w:rPr>
          <w:rFonts w:asciiTheme="majorHAnsi" w:hAnsiTheme="majorHAnsi" w:cstheme="majorHAnsi"/>
          <w:sz w:val="22"/>
        </w:rPr>
      </w:pPr>
      <w:r w:rsidRPr="00CB625F">
        <w:rPr>
          <w:rFonts w:asciiTheme="majorHAnsi" w:hAnsiTheme="majorHAnsi" w:cstheme="majorHAnsi"/>
          <w:sz w:val="22"/>
        </w:rPr>
        <w:t>Demonstrated experience leading executive teams, managing organisational performance, and delivering reform across complex portfolios.</w:t>
      </w:r>
    </w:p>
    <w:p w14:paraId="61649502" w14:textId="77777777" w:rsidR="00CB625F" w:rsidRPr="00CB625F" w:rsidRDefault="00CB625F" w:rsidP="00BA07D5">
      <w:pPr>
        <w:pStyle w:val="ListParagraph"/>
        <w:numPr>
          <w:ilvl w:val="0"/>
          <w:numId w:val="3"/>
        </w:numPr>
        <w:spacing w:before="60"/>
        <w:rPr>
          <w:rFonts w:asciiTheme="majorHAnsi" w:hAnsiTheme="majorHAnsi" w:cstheme="majorHAnsi"/>
          <w:sz w:val="22"/>
        </w:rPr>
      </w:pPr>
      <w:r w:rsidRPr="00CB625F">
        <w:rPr>
          <w:rFonts w:asciiTheme="majorHAnsi" w:hAnsiTheme="majorHAnsi" w:cstheme="majorHAnsi"/>
          <w:sz w:val="22"/>
        </w:rPr>
        <w:t>Outstanding communication, political judgement and stakeholder engagement skills, including working with Ministers, Boards and central agencies.</w:t>
      </w:r>
    </w:p>
    <w:p w14:paraId="09AC2895" w14:textId="185EC5C8" w:rsidR="00EC1BC5" w:rsidRPr="00F4157D" w:rsidRDefault="00CB625F" w:rsidP="00BA07D5">
      <w:pPr>
        <w:pStyle w:val="ListParagraph"/>
        <w:numPr>
          <w:ilvl w:val="0"/>
          <w:numId w:val="3"/>
        </w:numPr>
        <w:spacing w:before="60"/>
        <w:rPr>
          <w:rFonts w:asciiTheme="majorHAnsi" w:hAnsiTheme="majorHAnsi" w:cstheme="majorHAnsi"/>
          <w:sz w:val="22"/>
        </w:rPr>
      </w:pPr>
      <w:r w:rsidRPr="00CB625F">
        <w:rPr>
          <w:rFonts w:asciiTheme="majorHAnsi" w:hAnsiTheme="majorHAnsi" w:cstheme="majorHAnsi"/>
          <w:sz w:val="22"/>
        </w:rPr>
        <w:t>Personal integrity, resilience, and the ability to inspire, influence and drive results.</w:t>
      </w:r>
      <w:r>
        <w:rPr>
          <w:rFonts w:asciiTheme="majorHAnsi" w:hAnsiTheme="majorHAnsi" w:cstheme="majorHAnsi"/>
          <w:sz w:val="22"/>
        </w:rPr>
        <w:br/>
      </w:r>
    </w:p>
    <w:p w14:paraId="7A8C8949" w14:textId="1CD7462F" w:rsidR="00EC1BC5" w:rsidRPr="00EC1BC5" w:rsidRDefault="00EC1BC5" w:rsidP="00BA07D5">
      <w:pPr>
        <w:pStyle w:val="ListParagraph"/>
        <w:numPr>
          <w:ilvl w:val="0"/>
          <w:numId w:val="3"/>
        </w:numPr>
        <w:spacing w:before="60"/>
        <w:rPr>
          <w:rFonts w:asciiTheme="majorHAnsi" w:hAnsiTheme="majorHAnsi" w:cstheme="majorHAnsi"/>
          <w:b/>
          <w:bCs/>
          <w:sz w:val="22"/>
        </w:rPr>
      </w:pPr>
      <w:r w:rsidRPr="00EC1BC5">
        <w:rPr>
          <w:rFonts w:asciiTheme="majorHAnsi" w:hAnsiTheme="majorHAnsi" w:cstheme="majorHAnsi"/>
          <w:b/>
          <w:bCs/>
          <w:sz w:val="22"/>
        </w:rPr>
        <w:t>People Management</w:t>
      </w:r>
    </w:p>
    <w:p w14:paraId="56D8FBE4" w14:textId="77777777" w:rsidR="00EC1BC5" w:rsidRDefault="00EC1BC5" w:rsidP="00BA07D5">
      <w:pPr>
        <w:pStyle w:val="ListParagraph"/>
        <w:numPr>
          <w:ilvl w:val="1"/>
          <w:numId w:val="3"/>
        </w:numPr>
        <w:spacing w:before="60"/>
        <w:rPr>
          <w:rFonts w:asciiTheme="majorHAnsi" w:hAnsiTheme="majorHAnsi" w:cstheme="majorHAnsi"/>
          <w:sz w:val="22"/>
        </w:rPr>
      </w:pPr>
      <w:r w:rsidRPr="00EC1BC5">
        <w:rPr>
          <w:rFonts w:asciiTheme="majorHAnsi" w:hAnsiTheme="majorHAnsi" w:cstheme="majorHAnsi"/>
          <w:sz w:val="22"/>
        </w:rPr>
        <w:t>Partner with the CEO to lead the delivery of the Queensland Government’s Trade and Investment</w:t>
      </w:r>
      <w:r>
        <w:rPr>
          <w:rFonts w:asciiTheme="majorHAnsi" w:hAnsiTheme="majorHAnsi" w:cstheme="majorHAnsi"/>
          <w:sz w:val="22"/>
        </w:rPr>
        <w:t xml:space="preserve"> </w:t>
      </w:r>
      <w:r w:rsidRPr="00EC1BC5">
        <w:rPr>
          <w:rFonts w:asciiTheme="majorHAnsi" w:hAnsiTheme="majorHAnsi" w:cstheme="majorHAnsi"/>
          <w:sz w:val="22"/>
        </w:rPr>
        <w:t>priorities and strategic direction.</w:t>
      </w:r>
    </w:p>
    <w:p w14:paraId="6546BC6E" w14:textId="77777777" w:rsidR="00EC1BC5" w:rsidRDefault="00EC1BC5" w:rsidP="00BA07D5">
      <w:pPr>
        <w:pStyle w:val="ListParagraph"/>
        <w:numPr>
          <w:ilvl w:val="1"/>
          <w:numId w:val="3"/>
        </w:numPr>
        <w:spacing w:before="60"/>
        <w:rPr>
          <w:rFonts w:asciiTheme="majorHAnsi" w:hAnsiTheme="majorHAnsi" w:cstheme="majorHAnsi"/>
          <w:sz w:val="22"/>
        </w:rPr>
      </w:pPr>
      <w:r w:rsidRPr="00EC1BC5">
        <w:rPr>
          <w:rFonts w:asciiTheme="majorHAnsi" w:hAnsiTheme="majorHAnsi" w:cstheme="majorHAnsi"/>
          <w:sz w:val="22"/>
        </w:rPr>
        <w:lastRenderedPageBreak/>
        <w:t>Ensure Queensland is well positioned to benefit from free trade agreements, emerging markets an</w:t>
      </w:r>
      <w:r>
        <w:rPr>
          <w:rFonts w:asciiTheme="majorHAnsi" w:hAnsiTheme="majorHAnsi" w:cstheme="majorHAnsi"/>
          <w:sz w:val="22"/>
        </w:rPr>
        <w:t xml:space="preserve">d </w:t>
      </w:r>
      <w:r w:rsidRPr="00EC1BC5">
        <w:rPr>
          <w:rFonts w:asciiTheme="majorHAnsi" w:hAnsiTheme="majorHAnsi" w:cstheme="majorHAnsi"/>
          <w:sz w:val="22"/>
        </w:rPr>
        <w:t>global megatrends affecting supply chains.</w:t>
      </w:r>
    </w:p>
    <w:p w14:paraId="4249991A" w14:textId="77777777" w:rsidR="00EC1BC5" w:rsidRDefault="00EC1BC5" w:rsidP="00BA07D5">
      <w:pPr>
        <w:pStyle w:val="ListParagraph"/>
        <w:numPr>
          <w:ilvl w:val="1"/>
          <w:numId w:val="3"/>
        </w:numPr>
        <w:spacing w:before="60"/>
        <w:rPr>
          <w:rFonts w:asciiTheme="majorHAnsi" w:hAnsiTheme="majorHAnsi" w:cstheme="majorHAnsi"/>
          <w:sz w:val="22"/>
        </w:rPr>
      </w:pPr>
      <w:r w:rsidRPr="00EC1BC5">
        <w:rPr>
          <w:rFonts w:asciiTheme="majorHAnsi" w:hAnsiTheme="majorHAnsi" w:cstheme="majorHAnsi"/>
          <w:sz w:val="22"/>
        </w:rPr>
        <w:t>Lead TIQ’s corporate performance, budgeting, internal controls, compliance and reporting functions,</w:t>
      </w:r>
      <w:r>
        <w:rPr>
          <w:rFonts w:asciiTheme="majorHAnsi" w:hAnsiTheme="majorHAnsi" w:cstheme="majorHAnsi"/>
          <w:sz w:val="22"/>
        </w:rPr>
        <w:t xml:space="preserve"> </w:t>
      </w:r>
      <w:r w:rsidRPr="00EC1BC5">
        <w:rPr>
          <w:rFonts w:asciiTheme="majorHAnsi" w:hAnsiTheme="majorHAnsi" w:cstheme="majorHAnsi"/>
          <w:sz w:val="22"/>
        </w:rPr>
        <w:t>providing regular advice to the Board and AFRMC.</w:t>
      </w:r>
    </w:p>
    <w:p w14:paraId="5FE052BD" w14:textId="77777777" w:rsidR="00EC1BC5" w:rsidRDefault="00EC1BC5" w:rsidP="00BA07D5">
      <w:pPr>
        <w:pStyle w:val="ListParagraph"/>
        <w:numPr>
          <w:ilvl w:val="1"/>
          <w:numId w:val="3"/>
        </w:numPr>
        <w:spacing w:before="60"/>
        <w:rPr>
          <w:rFonts w:asciiTheme="majorHAnsi" w:hAnsiTheme="majorHAnsi" w:cstheme="majorHAnsi"/>
          <w:sz w:val="22"/>
        </w:rPr>
      </w:pPr>
      <w:r w:rsidRPr="00EC1BC5">
        <w:rPr>
          <w:rFonts w:asciiTheme="majorHAnsi" w:hAnsiTheme="majorHAnsi" w:cstheme="majorHAnsi"/>
          <w:sz w:val="22"/>
        </w:rPr>
        <w:t>Monitor and oversee risk management, legal compliance, and ethical operations in line with public</w:t>
      </w:r>
      <w:r>
        <w:rPr>
          <w:rFonts w:asciiTheme="majorHAnsi" w:hAnsiTheme="majorHAnsi" w:cstheme="majorHAnsi"/>
          <w:sz w:val="22"/>
        </w:rPr>
        <w:t xml:space="preserve"> </w:t>
      </w:r>
      <w:r w:rsidRPr="00EC1BC5">
        <w:rPr>
          <w:rFonts w:asciiTheme="majorHAnsi" w:hAnsiTheme="majorHAnsi" w:cstheme="majorHAnsi"/>
          <w:sz w:val="22"/>
        </w:rPr>
        <w:t>sector standards.</w:t>
      </w:r>
    </w:p>
    <w:p w14:paraId="74E4D501" w14:textId="77777777" w:rsidR="00EC1BC5" w:rsidRDefault="00EC1BC5" w:rsidP="00BA07D5">
      <w:pPr>
        <w:pStyle w:val="ListParagraph"/>
        <w:numPr>
          <w:ilvl w:val="1"/>
          <w:numId w:val="3"/>
        </w:numPr>
        <w:spacing w:before="60"/>
        <w:rPr>
          <w:rFonts w:asciiTheme="majorHAnsi" w:hAnsiTheme="majorHAnsi" w:cstheme="majorHAnsi"/>
          <w:sz w:val="22"/>
        </w:rPr>
      </w:pPr>
      <w:r w:rsidRPr="00EC1BC5">
        <w:rPr>
          <w:rFonts w:asciiTheme="majorHAnsi" w:hAnsiTheme="majorHAnsi" w:cstheme="majorHAnsi"/>
          <w:sz w:val="22"/>
        </w:rPr>
        <w:t>Provide strong leadership to TIQ’s executive team (General Managers and Executive Directors),</w:t>
      </w:r>
      <w:r>
        <w:rPr>
          <w:rFonts w:asciiTheme="majorHAnsi" w:hAnsiTheme="majorHAnsi" w:cstheme="majorHAnsi"/>
          <w:sz w:val="22"/>
        </w:rPr>
        <w:t xml:space="preserve"> </w:t>
      </w:r>
      <w:r w:rsidRPr="00EC1BC5">
        <w:rPr>
          <w:rFonts w:asciiTheme="majorHAnsi" w:hAnsiTheme="majorHAnsi" w:cstheme="majorHAnsi"/>
          <w:sz w:val="22"/>
        </w:rPr>
        <w:t>creating a high-performing, accountable and cohesive culture, by ensuring participation and</w:t>
      </w:r>
      <w:r>
        <w:rPr>
          <w:rFonts w:asciiTheme="majorHAnsi" w:hAnsiTheme="majorHAnsi" w:cstheme="majorHAnsi"/>
          <w:sz w:val="22"/>
        </w:rPr>
        <w:t xml:space="preserve"> </w:t>
      </w:r>
      <w:r w:rsidRPr="00EC1BC5">
        <w:rPr>
          <w:rFonts w:asciiTheme="majorHAnsi" w:hAnsiTheme="majorHAnsi" w:cstheme="majorHAnsi"/>
          <w:sz w:val="22"/>
        </w:rPr>
        <w:t>oversight of Professional Development Agreements.</w:t>
      </w:r>
    </w:p>
    <w:p w14:paraId="4AC71816" w14:textId="48A4C9F7" w:rsidR="00EC1BC5" w:rsidRPr="00EC1BC5" w:rsidRDefault="00EC1BC5" w:rsidP="00BA07D5">
      <w:pPr>
        <w:pStyle w:val="ListParagraph"/>
        <w:numPr>
          <w:ilvl w:val="1"/>
          <w:numId w:val="3"/>
        </w:numPr>
        <w:spacing w:before="60"/>
        <w:rPr>
          <w:rFonts w:asciiTheme="majorHAnsi" w:hAnsiTheme="majorHAnsi" w:cstheme="majorHAnsi"/>
          <w:sz w:val="22"/>
        </w:rPr>
      </w:pPr>
      <w:r w:rsidRPr="00EC1BC5">
        <w:rPr>
          <w:rFonts w:asciiTheme="majorHAnsi" w:hAnsiTheme="majorHAnsi" w:cstheme="majorHAnsi"/>
          <w:sz w:val="22"/>
        </w:rPr>
        <w:t>Ensure enterprise-wide alignment of people, systems and operations to TIQ’s Strategic Plan.</w:t>
      </w:r>
    </w:p>
    <w:p w14:paraId="7403FD78" w14:textId="77777777" w:rsidR="00EC1BC5" w:rsidRDefault="00EC1BC5" w:rsidP="00EC1BC5">
      <w:pPr>
        <w:pStyle w:val="ListParagraph"/>
        <w:numPr>
          <w:ilvl w:val="0"/>
          <w:numId w:val="0"/>
        </w:numPr>
        <w:spacing w:before="60" w:after="0"/>
        <w:ind w:left="360"/>
        <w:rPr>
          <w:rFonts w:asciiTheme="majorHAnsi" w:hAnsiTheme="majorHAnsi" w:cstheme="majorHAnsi"/>
          <w:sz w:val="22"/>
        </w:rPr>
      </w:pPr>
    </w:p>
    <w:p w14:paraId="11FE631B" w14:textId="4F24EDCA" w:rsidR="000A5CFB" w:rsidRPr="00EC1BC5" w:rsidRDefault="000A5CFB" w:rsidP="00BA07D5">
      <w:pPr>
        <w:pStyle w:val="ListParagraph"/>
        <w:numPr>
          <w:ilvl w:val="0"/>
          <w:numId w:val="3"/>
        </w:numPr>
        <w:spacing w:before="60"/>
        <w:rPr>
          <w:rFonts w:asciiTheme="majorHAnsi" w:hAnsiTheme="majorHAnsi" w:cstheme="majorHAnsi"/>
          <w:b/>
          <w:bCs/>
          <w:sz w:val="22"/>
        </w:rPr>
      </w:pPr>
      <w:r w:rsidRPr="000A5CFB">
        <w:rPr>
          <w:rFonts w:asciiTheme="majorHAnsi" w:hAnsiTheme="majorHAnsi" w:cstheme="majorHAnsi"/>
          <w:b/>
          <w:bCs/>
          <w:sz w:val="22"/>
        </w:rPr>
        <w:t>Programs and Project Management</w:t>
      </w:r>
    </w:p>
    <w:p w14:paraId="73190DEA" w14:textId="14128978" w:rsidR="000A5CFB" w:rsidRPr="000A5CFB" w:rsidRDefault="000A5CFB" w:rsidP="00BA07D5">
      <w:pPr>
        <w:pStyle w:val="ListParagraph"/>
        <w:numPr>
          <w:ilvl w:val="1"/>
          <w:numId w:val="3"/>
        </w:numPr>
        <w:spacing w:before="60"/>
        <w:rPr>
          <w:rFonts w:asciiTheme="majorHAnsi" w:hAnsiTheme="majorHAnsi" w:cstheme="majorHAnsi"/>
          <w:sz w:val="22"/>
        </w:rPr>
      </w:pPr>
      <w:r w:rsidRPr="000A5CFB">
        <w:rPr>
          <w:rFonts w:asciiTheme="majorHAnsi" w:hAnsiTheme="majorHAnsi" w:cstheme="majorHAnsi"/>
          <w:sz w:val="22"/>
        </w:rPr>
        <w:t>Lead the delivery of TIQ’s key initiatives and projects to drive trade, investment and global</w:t>
      </w:r>
      <w:r>
        <w:rPr>
          <w:rFonts w:asciiTheme="majorHAnsi" w:hAnsiTheme="majorHAnsi" w:cstheme="majorHAnsi"/>
          <w:sz w:val="22"/>
        </w:rPr>
        <w:t xml:space="preserve"> </w:t>
      </w:r>
      <w:r w:rsidRPr="000A5CFB">
        <w:rPr>
          <w:rFonts w:asciiTheme="majorHAnsi" w:hAnsiTheme="majorHAnsi" w:cstheme="majorHAnsi"/>
          <w:sz w:val="22"/>
        </w:rPr>
        <w:t>engagement across priority sectors and regions.</w:t>
      </w:r>
    </w:p>
    <w:p w14:paraId="2465B5D3" w14:textId="77777777" w:rsidR="000A5CFB" w:rsidRDefault="000A5CFB" w:rsidP="00BA07D5">
      <w:pPr>
        <w:pStyle w:val="ListParagraph"/>
        <w:numPr>
          <w:ilvl w:val="1"/>
          <w:numId w:val="3"/>
        </w:numPr>
        <w:spacing w:before="60"/>
        <w:rPr>
          <w:rFonts w:asciiTheme="majorHAnsi" w:hAnsiTheme="majorHAnsi" w:cstheme="majorHAnsi"/>
          <w:sz w:val="22"/>
        </w:rPr>
      </w:pPr>
      <w:r w:rsidRPr="000A5CFB">
        <w:rPr>
          <w:rFonts w:asciiTheme="majorHAnsi" w:hAnsiTheme="majorHAnsi" w:cstheme="majorHAnsi"/>
          <w:sz w:val="22"/>
        </w:rPr>
        <w:t>Work in collaboration with Corporate Services teams and ELT to ensure the organisation has the</w:t>
      </w:r>
      <w:r>
        <w:rPr>
          <w:rFonts w:asciiTheme="majorHAnsi" w:hAnsiTheme="majorHAnsi" w:cstheme="majorHAnsi"/>
          <w:sz w:val="22"/>
        </w:rPr>
        <w:t xml:space="preserve"> </w:t>
      </w:r>
      <w:r w:rsidRPr="000A5CFB">
        <w:rPr>
          <w:rFonts w:asciiTheme="majorHAnsi" w:hAnsiTheme="majorHAnsi" w:cstheme="majorHAnsi"/>
          <w:sz w:val="22"/>
        </w:rPr>
        <w:t>systems, processes and workforce capability to implement strategy and adapt to change.</w:t>
      </w:r>
    </w:p>
    <w:p w14:paraId="06AC225C" w14:textId="6C4FDA76" w:rsidR="000A5CFB" w:rsidRDefault="000A5CFB" w:rsidP="00BA07D5">
      <w:pPr>
        <w:pStyle w:val="ListParagraph"/>
        <w:numPr>
          <w:ilvl w:val="1"/>
          <w:numId w:val="3"/>
        </w:numPr>
        <w:spacing w:before="60"/>
        <w:rPr>
          <w:rFonts w:asciiTheme="majorHAnsi" w:hAnsiTheme="majorHAnsi" w:cstheme="majorHAnsi"/>
          <w:sz w:val="22"/>
        </w:rPr>
      </w:pPr>
      <w:r w:rsidRPr="000A5CFB">
        <w:rPr>
          <w:rFonts w:asciiTheme="majorHAnsi" w:hAnsiTheme="majorHAnsi" w:cstheme="majorHAnsi"/>
          <w:sz w:val="22"/>
        </w:rPr>
        <w:t>Oversee the delivery of internal transformation, digital uplift and operational reforms that support</w:t>
      </w:r>
      <w:r>
        <w:rPr>
          <w:rFonts w:asciiTheme="majorHAnsi" w:hAnsiTheme="majorHAnsi" w:cstheme="majorHAnsi"/>
          <w:sz w:val="22"/>
        </w:rPr>
        <w:t xml:space="preserve"> </w:t>
      </w:r>
      <w:r w:rsidRPr="000A5CFB">
        <w:rPr>
          <w:rFonts w:asciiTheme="majorHAnsi" w:hAnsiTheme="majorHAnsi" w:cstheme="majorHAnsi"/>
          <w:sz w:val="22"/>
        </w:rPr>
        <w:t>TIQ’s global mandate.</w:t>
      </w:r>
    </w:p>
    <w:p w14:paraId="23F38DFB" w14:textId="3C8198D5" w:rsidR="000A5CFB" w:rsidRDefault="000A5CFB" w:rsidP="00BA07D5">
      <w:pPr>
        <w:pStyle w:val="ListParagraph"/>
        <w:numPr>
          <w:ilvl w:val="1"/>
          <w:numId w:val="3"/>
        </w:numPr>
        <w:spacing w:before="60"/>
        <w:rPr>
          <w:rFonts w:asciiTheme="majorHAnsi" w:hAnsiTheme="majorHAnsi" w:cstheme="majorHAnsi"/>
          <w:sz w:val="22"/>
        </w:rPr>
      </w:pPr>
      <w:r w:rsidRPr="000A5CFB">
        <w:rPr>
          <w:rFonts w:asciiTheme="majorHAnsi" w:hAnsiTheme="majorHAnsi" w:cstheme="majorHAnsi"/>
          <w:sz w:val="22"/>
        </w:rPr>
        <w:t>Support and promote innovation, efficiency, and good governance across all business units by ensuring senior leaders are accountable and responsible for the delivery of TIQ strategic and business objectives.</w:t>
      </w:r>
    </w:p>
    <w:p w14:paraId="0141A273" w14:textId="77777777" w:rsidR="00F14DDB" w:rsidRDefault="00F14DDB" w:rsidP="00F14DDB">
      <w:pPr>
        <w:pStyle w:val="ListParagraph"/>
        <w:numPr>
          <w:ilvl w:val="0"/>
          <w:numId w:val="0"/>
        </w:numPr>
        <w:spacing w:before="60"/>
        <w:ind w:left="1080"/>
        <w:rPr>
          <w:rFonts w:asciiTheme="majorHAnsi" w:hAnsiTheme="majorHAnsi" w:cstheme="majorHAnsi"/>
          <w:sz w:val="22"/>
        </w:rPr>
      </w:pPr>
    </w:p>
    <w:p w14:paraId="4B06ADE5" w14:textId="5FE90CFB" w:rsidR="00F14DDB" w:rsidRPr="00F14DDB" w:rsidRDefault="00F14DDB" w:rsidP="00BA07D5">
      <w:pPr>
        <w:pStyle w:val="ListParagraph"/>
        <w:numPr>
          <w:ilvl w:val="0"/>
          <w:numId w:val="3"/>
        </w:numPr>
        <w:spacing w:before="60"/>
        <w:rPr>
          <w:rFonts w:asciiTheme="majorHAnsi" w:hAnsiTheme="majorHAnsi" w:cstheme="majorHAnsi"/>
          <w:sz w:val="22"/>
        </w:rPr>
      </w:pPr>
      <w:r w:rsidRPr="00F14DDB">
        <w:rPr>
          <w:rFonts w:asciiTheme="majorHAnsi" w:hAnsiTheme="majorHAnsi" w:cstheme="majorHAnsi"/>
          <w:b/>
          <w:bCs/>
          <w:sz w:val="22"/>
        </w:rPr>
        <w:t>Policy and Economic Development</w:t>
      </w:r>
    </w:p>
    <w:p w14:paraId="6D98BE99" w14:textId="77777777" w:rsidR="00EA65D6" w:rsidRDefault="00F14DDB" w:rsidP="00BA07D5">
      <w:pPr>
        <w:pStyle w:val="ListParagraph"/>
        <w:numPr>
          <w:ilvl w:val="1"/>
          <w:numId w:val="3"/>
        </w:numPr>
        <w:spacing w:before="60"/>
        <w:rPr>
          <w:rFonts w:asciiTheme="majorHAnsi" w:hAnsiTheme="majorHAnsi" w:cstheme="majorHAnsi"/>
          <w:sz w:val="22"/>
        </w:rPr>
      </w:pPr>
      <w:r w:rsidRPr="00F14DDB">
        <w:rPr>
          <w:rFonts w:asciiTheme="majorHAnsi" w:hAnsiTheme="majorHAnsi" w:cstheme="majorHAnsi"/>
          <w:sz w:val="22"/>
        </w:rPr>
        <w:t>Provide quality policy advice on trade, investment, and global business issues to the CEO, Ministers, the Premier and senior government officials.</w:t>
      </w:r>
    </w:p>
    <w:p w14:paraId="60072651" w14:textId="77777777" w:rsidR="00EA65D6" w:rsidRDefault="00F14DDB" w:rsidP="00BA07D5">
      <w:pPr>
        <w:pStyle w:val="ListParagraph"/>
        <w:numPr>
          <w:ilvl w:val="1"/>
          <w:numId w:val="3"/>
        </w:numPr>
        <w:spacing w:before="60"/>
        <w:rPr>
          <w:rFonts w:asciiTheme="majorHAnsi" w:hAnsiTheme="majorHAnsi" w:cstheme="majorHAnsi"/>
          <w:sz w:val="22"/>
        </w:rPr>
      </w:pPr>
      <w:r w:rsidRPr="00EA65D6">
        <w:rPr>
          <w:rFonts w:asciiTheme="majorHAnsi" w:hAnsiTheme="majorHAnsi" w:cstheme="majorHAnsi"/>
          <w:sz w:val="22"/>
        </w:rPr>
        <w:t>Demonstrate deep understanding of Queensland’s and Australia’s economic landscape, and how international relationships and investment attraction are critical to long-term prosperity.</w:t>
      </w:r>
    </w:p>
    <w:p w14:paraId="6844E6E8" w14:textId="77777777" w:rsidR="00EA65D6" w:rsidRDefault="00F14DDB" w:rsidP="00BA07D5">
      <w:pPr>
        <w:pStyle w:val="ListParagraph"/>
        <w:numPr>
          <w:ilvl w:val="1"/>
          <w:numId w:val="3"/>
        </w:numPr>
        <w:spacing w:before="60"/>
        <w:rPr>
          <w:rFonts w:asciiTheme="majorHAnsi" w:hAnsiTheme="majorHAnsi" w:cstheme="majorHAnsi"/>
          <w:sz w:val="22"/>
        </w:rPr>
      </w:pPr>
      <w:r w:rsidRPr="00EA65D6">
        <w:rPr>
          <w:rFonts w:asciiTheme="majorHAnsi" w:hAnsiTheme="majorHAnsi" w:cstheme="majorHAnsi"/>
          <w:sz w:val="22"/>
        </w:rPr>
        <w:t>Help shape whole-of-government strategies and implementation plans related to trade and economic development.</w:t>
      </w:r>
    </w:p>
    <w:p w14:paraId="35A6B362" w14:textId="68ADA2A1" w:rsidR="00F14DDB" w:rsidRDefault="00F14DDB" w:rsidP="00BA07D5">
      <w:pPr>
        <w:pStyle w:val="ListParagraph"/>
        <w:numPr>
          <w:ilvl w:val="1"/>
          <w:numId w:val="3"/>
        </w:numPr>
        <w:spacing w:before="60"/>
        <w:rPr>
          <w:rFonts w:asciiTheme="majorHAnsi" w:hAnsiTheme="majorHAnsi" w:cstheme="majorHAnsi"/>
          <w:sz w:val="22"/>
        </w:rPr>
      </w:pPr>
      <w:r w:rsidRPr="00EA65D6">
        <w:rPr>
          <w:rFonts w:asciiTheme="majorHAnsi" w:hAnsiTheme="majorHAnsi" w:cstheme="majorHAnsi"/>
          <w:sz w:val="22"/>
        </w:rPr>
        <w:t>Bring insight into geopolitical dynamics, foreign investment trends, and regional economic strengths, ensuring policy and operational coherence.</w:t>
      </w:r>
    </w:p>
    <w:p w14:paraId="46EC9387" w14:textId="77777777" w:rsidR="009E00B9" w:rsidRDefault="009E00B9" w:rsidP="009E00B9">
      <w:pPr>
        <w:pStyle w:val="ListParagraph"/>
        <w:numPr>
          <w:ilvl w:val="0"/>
          <w:numId w:val="0"/>
        </w:numPr>
        <w:spacing w:before="60"/>
        <w:ind w:left="1080"/>
        <w:rPr>
          <w:rFonts w:asciiTheme="majorHAnsi" w:hAnsiTheme="majorHAnsi" w:cstheme="majorHAnsi"/>
          <w:sz w:val="22"/>
        </w:rPr>
      </w:pPr>
    </w:p>
    <w:p w14:paraId="7048484B" w14:textId="77777777" w:rsidR="009E00B9" w:rsidRPr="009E00B9" w:rsidRDefault="009E00B9" w:rsidP="00BA07D5">
      <w:pPr>
        <w:pStyle w:val="ListParagraph"/>
        <w:numPr>
          <w:ilvl w:val="0"/>
          <w:numId w:val="3"/>
        </w:numPr>
        <w:spacing w:before="60"/>
        <w:rPr>
          <w:rFonts w:asciiTheme="majorHAnsi" w:hAnsiTheme="majorHAnsi" w:cstheme="majorHAnsi"/>
          <w:b/>
          <w:bCs/>
          <w:sz w:val="22"/>
        </w:rPr>
      </w:pPr>
      <w:r w:rsidRPr="009E00B9">
        <w:rPr>
          <w:rFonts w:asciiTheme="majorHAnsi" w:hAnsiTheme="majorHAnsi" w:cstheme="majorHAnsi"/>
          <w:b/>
          <w:bCs/>
          <w:sz w:val="22"/>
        </w:rPr>
        <w:t>Stakeholder Relationships</w:t>
      </w:r>
    </w:p>
    <w:p w14:paraId="1A96D847" w14:textId="77777777" w:rsidR="009E00B9" w:rsidRDefault="009E00B9" w:rsidP="00BA07D5">
      <w:pPr>
        <w:pStyle w:val="ListParagraph"/>
        <w:numPr>
          <w:ilvl w:val="1"/>
          <w:numId w:val="3"/>
        </w:numPr>
        <w:spacing w:before="60"/>
        <w:rPr>
          <w:rFonts w:asciiTheme="majorHAnsi" w:hAnsiTheme="majorHAnsi" w:cstheme="majorHAnsi"/>
          <w:sz w:val="22"/>
        </w:rPr>
      </w:pPr>
      <w:r w:rsidRPr="009E00B9">
        <w:rPr>
          <w:rFonts w:asciiTheme="majorHAnsi" w:hAnsiTheme="majorHAnsi" w:cstheme="majorHAnsi"/>
          <w:sz w:val="22"/>
        </w:rPr>
        <w:t>Build strong and trusted relationships across government and industry to ensure strategic alignment and maximise outcomes</w:t>
      </w:r>
      <w:r>
        <w:rPr>
          <w:rFonts w:asciiTheme="majorHAnsi" w:hAnsiTheme="majorHAnsi" w:cstheme="majorHAnsi"/>
          <w:sz w:val="22"/>
        </w:rPr>
        <w:t>.</w:t>
      </w:r>
    </w:p>
    <w:p w14:paraId="6F97CD55" w14:textId="77777777" w:rsidR="009E00B9" w:rsidRDefault="009E00B9" w:rsidP="00BA07D5">
      <w:pPr>
        <w:pStyle w:val="ListParagraph"/>
        <w:numPr>
          <w:ilvl w:val="1"/>
          <w:numId w:val="3"/>
        </w:numPr>
        <w:spacing w:before="60"/>
        <w:rPr>
          <w:rFonts w:asciiTheme="majorHAnsi" w:hAnsiTheme="majorHAnsi" w:cstheme="majorHAnsi"/>
          <w:sz w:val="22"/>
        </w:rPr>
      </w:pPr>
      <w:r w:rsidRPr="009E00B9">
        <w:rPr>
          <w:rFonts w:asciiTheme="majorHAnsi" w:hAnsiTheme="majorHAnsi" w:cstheme="majorHAnsi"/>
          <w:sz w:val="22"/>
        </w:rPr>
        <w:t>Lead partnerships with other Queensland departments, the Commonwealth, and international counterparts to advance investment attraction and trade growth.</w:t>
      </w:r>
    </w:p>
    <w:p w14:paraId="5B221243" w14:textId="77777777" w:rsidR="009E00B9" w:rsidRDefault="009E00B9" w:rsidP="00BA07D5">
      <w:pPr>
        <w:pStyle w:val="ListParagraph"/>
        <w:numPr>
          <w:ilvl w:val="1"/>
          <w:numId w:val="3"/>
        </w:numPr>
        <w:spacing w:before="60"/>
        <w:rPr>
          <w:rFonts w:asciiTheme="majorHAnsi" w:hAnsiTheme="majorHAnsi" w:cstheme="majorHAnsi"/>
          <w:sz w:val="22"/>
        </w:rPr>
      </w:pPr>
      <w:r w:rsidRPr="009E00B9">
        <w:rPr>
          <w:rFonts w:asciiTheme="majorHAnsi" w:hAnsiTheme="majorHAnsi" w:cstheme="majorHAnsi"/>
          <w:sz w:val="22"/>
        </w:rPr>
        <w:t>Represent TIQ in intergovernmental forums, international delegations and ministerial briefings as required.</w:t>
      </w:r>
    </w:p>
    <w:p w14:paraId="32424993" w14:textId="611E1BEC" w:rsidR="001F0F7E" w:rsidRPr="009E00B9" w:rsidRDefault="009E00B9" w:rsidP="00BA07D5">
      <w:pPr>
        <w:pStyle w:val="ListParagraph"/>
        <w:numPr>
          <w:ilvl w:val="1"/>
          <w:numId w:val="3"/>
        </w:numPr>
        <w:spacing w:before="60"/>
        <w:rPr>
          <w:rFonts w:asciiTheme="majorHAnsi" w:hAnsiTheme="majorHAnsi" w:cstheme="majorHAnsi"/>
          <w:sz w:val="22"/>
        </w:rPr>
      </w:pPr>
      <w:r w:rsidRPr="009E00B9">
        <w:rPr>
          <w:rFonts w:asciiTheme="majorHAnsi" w:hAnsiTheme="majorHAnsi" w:cstheme="majorHAnsi"/>
          <w:sz w:val="22"/>
        </w:rPr>
        <w:t>Contribute to the development of Queensland’s economy and jobs through trade and investment initiatives, regional engagement, and institutional collaboration.</w:t>
      </w:r>
    </w:p>
    <w:p w14:paraId="425BF044" w14:textId="77777777" w:rsidR="00470B52" w:rsidRPr="009A1667" w:rsidRDefault="00470B52" w:rsidP="00470B52">
      <w:pPr>
        <w:pStyle w:val="Heading3"/>
        <w:rPr>
          <w:rFonts w:cstheme="majorHAnsi"/>
          <w:b/>
          <w:bCs/>
          <w:color w:val="00CCCC"/>
          <w:sz w:val="32"/>
          <w:szCs w:val="32"/>
        </w:rPr>
      </w:pPr>
      <w:r w:rsidRPr="009A1667">
        <w:rPr>
          <w:rFonts w:cstheme="majorHAnsi"/>
          <w:b/>
          <w:bCs/>
          <w:color w:val="00CCCC"/>
          <w:sz w:val="32"/>
          <w:szCs w:val="32"/>
        </w:rPr>
        <w:t>Mandatory qualifications and conditions</w:t>
      </w:r>
    </w:p>
    <w:p w14:paraId="5C1D43FB" w14:textId="77777777" w:rsidR="00470B52" w:rsidRPr="00A80B54" w:rsidRDefault="00470B52" w:rsidP="00F054B2">
      <w:pPr>
        <w:pStyle w:val="ListParagraph"/>
        <w:widowControl w:val="0"/>
        <w:tabs>
          <w:tab w:val="left" w:pos="567"/>
        </w:tabs>
        <w:autoSpaceDE w:val="0"/>
        <w:autoSpaceDN w:val="0"/>
        <w:spacing w:after="0"/>
        <w:ind w:left="567" w:hanging="283"/>
        <w:contextualSpacing w:val="0"/>
        <w:rPr>
          <w:rFonts w:asciiTheme="majorHAnsi" w:hAnsiTheme="majorHAnsi" w:cstheme="majorHAnsi"/>
          <w:sz w:val="22"/>
        </w:rPr>
      </w:pPr>
      <w:r w:rsidRPr="00A80B54">
        <w:rPr>
          <w:rFonts w:asciiTheme="majorHAnsi" w:hAnsiTheme="majorHAnsi" w:cstheme="majorHAnsi"/>
          <w:b/>
          <w:bCs/>
          <w:sz w:val="22"/>
        </w:rPr>
        <w:t>Pre-Employment Checks</w:t>
      </w:r>
      <w:r w:rsidRPr="00A80B54">
        <w:rPr>
          <w:rFonts w:asciiTheme="majorHAnsi" w:hAnsiTheme="majorHAnsi" w:cstheme="majorHAnsi"/>
          <w:sz w:val="22"/>
        </w:rPr>
        <w:t xml:space="preserve"> – Appointment to this role is subject to satisfactory pre-employment checks, which may include reference checks, verification of qualifications, and validation of employment history. Pre-employment checks include; </w:t>
      </w:r>
    </w:p>
    <w:p w14:paraId="69C5E7DF" w14:textId="77777777" w:rsidR="00470B52" w:rsidRPr="00A80B54" w:rsidRDefault="00470B52" w:rsidP="00BA07D5">
      <w:pPr>
        <w:pStyle w:val="ListParagraph"/>
        <w:widowControl w:val="0"/>
        <w:numPr>
          <w:ilvl w:val="1"/>
          <w:numId w:val="4"/>
        </w:numPr>
        <w:tabs>
          <w:tab w:val="left" w:pos="567"/>
        </w:tabs>
        <w:autoSpaceDE w:val="0"/>
        <w:autoSpaceDN w:val="0"/>
        <w:spacing w:after="0"/>
        <w:contextualSpacing w:val="0"/>
        <w:rPr>
          <w:rFonts w:asciiTheme="majorHAnsi" w:hAnsiTheme="majorHAnsi" w:cstheme="majorHAnsi"/>
          <w:sz w:val="22"/>
        </w:rPr>
      </w:pPr>
      <w:r w:rsidRPr="00A80B54">
        <w:rPr>
          <w:rFonts w:asciiTheme="majorHAnsi" w:hAnsiTheme="majorHAnsi" w:cstheme="majorHAnsi"/>
          <w:b/>
          <w:bCs/>
          <w:sz w:val="22"/>
        </w:rPr>
        <w:lastRenderedPageBreak/>
        <w:t>Criminal History Screening</w:t>
      </w:r>
      <w:r w:rsidRPr="00A80B54">
        <w:rPr>
          <w:rFonts w:asciiTheme="majorHAnsi" w:hAnsiTheme="majorHAnsi" w:cstheme="majorHAnsi"/>
          <w:sz w:val="22"/>
        </w:rPr>
        <w:t xml:space="preserve"> – Due to this role having access to sensitive information, a criminal history check will be undertaken prior to appointment.</w:t>
      </w:r>
    </w:p>
    <w:p w14:paraId="685D413B" w14:textId="77777777" w:rsidR="00470B52" w:rsidRPr="00A80B54" w:rsidRDefault="00470B52" w:rsidP="00BA07D5">
      <w:pPr>
        <w:pStyle w:val="ListParagraph"/>
        <w:widowControl w:val="0"/>
        <w:numPr>
          <w:ilvl w:val="1"/>
          <w:numId w:val="4"/>
        </w:numPr>
        <w:tabs>
          <w:tab w:val="left" w:pos="567"/>
        </w:tabs>
        <w:autoSpaceDE w:val="0"/>
        <w:autoSpaceDN w:val="0"/>
        <w:spacing w:after="0"/>
        <w:contextualSpacing w:val="0"/>
        <w:rPr>
          <w:rFonts w:asciiTheme="majorHAnsi" w:hAnsiTheme="majorHAnsi" w:cstheme="majorHAnsi"/>
          <w:sz w:val="22"/>
        </w:rPr>
      </w:pPr>
      <w:r w:rsidRPr="00A80B54">
        <w:rPr>
          <w:rFonts w:asciiTheme="majorHAnsi" w:hAnsiTheme="majorHAnsi" w:cstheme="majorHAnsi"/>
          <w:b/>
          <w:bCs/>
          <w:sz w:val="22"/>
        </w:rPr>
        <w:t>Right to Work in Australia</w:t>
      </w:r>
      <w:r w:rsidRPr="00A80B54">
        <w:rPr>
          <w:rFonts w:asciiTheme="majorHAnsi" w:hAnsiTheme="majorHAnsi" w:cstheme="majorHAnsi"/>
          <w:sz w:val="22"/>
        </w:rPr>
        <w:t xml:space="preserve"> – Candidates must provide evidence of eligibility to work in Australia.</w:t>
      </w:r>
    </w:p>
    <w:p w14:paraId="5C9C71DD" w14:textId="77777777" w:rsidR="00470B52" w:rsidRPr="00A80B54" w:rsidRDefault="00470B52" w:rsidP="00BA07D5">
      <w:pPr>
        <w:pStyle w:val="ListParagraph"/>
        <w:widowControl w:val="0"/>
        <w:numPr>
          <w:ilvl w:val="1"/>
          <w:numId w:val="4"/>
        </w:numPr>
        <w:tabs>
          <w:tab w:val="left" w:pos="567"/>
        </w:tabs>
        <w:autoSpaceDE w:val="0"/>
        <w:autoSpaceDN w:val="0"/>
        <w:spacing w:after="0"/>
        <w:contextualSpacing w:val="0"/>
        <w:rPr>
          <w:rFonts w:asciiTheme="majorHAnsi" w:hAnsiTheme="majorHAnsi" w:cstheme="majorHAnsi"/>
          <w:sz w:val="22"/>
        </w:rPr>
      </w:pPr>
      <w:r w:rsidRPr="00A80B54">
        <w:rPr>
          <w:rFonts w:asciiTheme="majorHAnsi" w:hAnsiTheme="majorHAnsi" w:cstheme="majorHAnsi"/>
          <w:b/>
          <w:bCs/>
          <w:sz w:val="22"/>
        </w:rPr>
        <w:t>Declaration of Serious Disciplinary History</w:t>
      </w:r>
      <w:r w:rsidRPr="00A80B54">
        <w:rPr>
          <w:rFonts w:asciiTheme="majorHAnsi" w:hAnsiTheme="majorHAnsi" w:cstheme="majorHAnsi"/>
          <w:sz w:val="22"/>
        </w:rPr>
        <w:t xml:space="preserve"> – Prior to appointment, candidates are required to disclose any previous serious disciplinary actions in prior employment.</w:t>
      </w:r>
    </w:p>
    <w:p w14:paraId="2EB16EB1" w14:textId="77777777" w:rsidR="00665B94" w:rsidRDefault="00470B52" w:rsidP="00F054B2">
      <w:pPr>
        <w:pStyle w:val="ListParagraph"/>
        <w:widowControl w:val="0"/>
        <w:tabs>
          <w:tab w:val="left" w:pos="567"/>
        </w:tabs>
        <w:autoSpaceDE w:val="0"/>
        <w:autoSpaceDN w:val="0"/>
        <w:spacing w:after="0"/>
        <w:ind w:left="567" w:hanging="283"/>
        <w:contextualSpacing w:val="0"/>
        <w:rPr>
          <w:rFonts w:asciiTheme="majorHAnsi" w:hAnsiTheme="majorHAnsi" w:cstheme="majorHAnsi"/>
          <w:sz w:val="22"/>
        </w:rPr>
      </w:pPr>
      <w:r w:rsidRPr="00A80B54">
        <w:rPr>
          <w:rFonts w:asciiTheme="majorHAnsi" w:hAnsiTheme="majorHAnsi" w:cstheme="majorHAnsi"/>
          <w:b/>
          <w:bCs/>
          <w:sz w:val="22"/>
        </w:rPr>
        <w:t>Conflict of Interest Declaration</w:t>
      </w:r>
      <w:r w:rsidRPr="00A80B54">
        <w:rPr>
          <w:rFonts w:asciiTheme="majorHAnsi" w:hAnsiTheme="majorHAnsi" w:cstheme="majorHAnsi"/>
          <w:sz w:val="22"/>
        </w:rPr>
        <w:t xml:space="preserve"> – Candidates must declare any potential conflicts of interest in accordance with public sector requirements.</w:t>
      </w:r>
    </w:p>
    <w:p w14:paraId="53A6AF85" w14:textId="40839E79" w:rsidR="006F1112" w:rsidRDefault="00665B94" w:rsidP="00F054B2">
      <w:pPr>
        <w:pStyle w:val="ListParagraph"/>
        <w:widowControl w:val="0"/>
        <w:tabs>
          <w:tab w:val="left" w:pos="567"/>
        </w:tabs>
        <w:autoSpaceDE w:val="0"/>
        <w:autoSpaceDN w:val="0"/>
        <w:spacing w:after="0"/>
        <w:ind w:left="567" w:hanging="283"/>
        <w:contextualSpacing w:val="0"/>
        <w:rPr>
          <w:rFonts w:asciiTheme="majorHAnsi" w:hAnsiTheme="majorHAnsi" w:cstheme="majorHAnsi"/>
          <w:sz w:val="22"/>
        </w:rPr>
      </w:pPr>
      <w:r w:rsidRPr="00665B94">
        <w:rPr>
          <w:rFonts w:asciiTheme="majorHAnsi" w:hAnsiTheme="majorHAnsi" w:cstheme="majorHAnsi"/>
          <w:b/>
          <w:bCs/>
          <w:sz w:val="22"/>
        </w:rPr>
        <w:t>Security Clearance</w:t>
      </w:r>
      <w:r>
        <w:rPr>
          <w:rFonts w:asciiTheme="majorHAnsi" w:hAnsiTheme="majorHAnsi" w:cstheme="majorHAnsi"/>
          <w:sz w:val="22"/>
        </w:rPr>
        <w:t xml:space="preserve"> - </w:t>
      </w:r>
      <w:r w:rsidRPr="00665B94">
        <w:rPr>
          <w:rFonts w:asciiTheme="majorHAnsi" w:hAnsiTheme="majorHAnsi" w:cstheme="majorHAnsi"/>
          <w:sz w:val="22"/>
        </w:rPr>
        <w:t>A security clearance (baseline or NV1) may be required</w:t>
      </w:r>
      <w:r w:rsidR="006F1112">
        <w:rPr>
          <w:rFonts w:asciiTheme="majorHAnsi" w:hAnsiTheme="majorHAnsi" w:cstheme="majorHAnsi"/>
          <w:sz w:val="22"/>
        </w:rPr>
        <w:t>.</w:t>
      </w:r>
    </w:p>
    <w:p w14:paraId="52C79C74" w14:textId="65A955CF" w:rsidR="009A1667" w:rsidRPr="006238D2" w:rsidRDefault="006F1112" w:rsidP="00F054B2">
      <w:pPr>
        <w:pStyle w:val="ListParagraph"/>
        <w:widowControl w:val="0"/>
        <w:tabs>
          <w:tab w:val="left" w:pos="567"/>
        </w:tabs>
        <w:autoSpaceDE w:val="0"/>
        <w:autoSpaceDN w:val="0"/>
        <w:spacing w:after="0"/>
        <w:ind w:left="567" w:hanging="283"/>
        <w:contextualSpacing w:val="0"/>
        <w:rPr>
          <w:rFonts w:asciiTheme="majorHAnsi" w:hAnsiTheme="majorHAnsi" w:cstheme="majorHAnsi"/>
          <w:sz w:val="22"/>
        </w:rPr>
      </w:pPr>
      <w:r>
        <w:rPr>
          <w:rFonts w:asciiTheme="majorHAnsi" w:hAnsiTheme="majorHAnsi" w:cstheme="majorHAnsi"/>
          <w:b/>
          <w:bCs/>
          <w:sz w:val="22"/>
        </w:rPr>
        <w:t xml:space="preserve">Travel </w:t>
      </w:r>
      <w:r w:rsidRPr="006F1112">
        <w:rPr>
          <w:rFonts w:asciiTheme="majorHAnsi" w:hAnsiTheme="majorHAnsi" w:cstheme="majorHAnsi"/>
          <w:sz w:val="22"/>
        </w:rPr>
        <w:t>-</w:t>
      </w:r>
      <w:r>
        <w:rPr>
          <w:rFonts w:asciiTheme="majorHAnsi" w:hAnsiTheme="majorHAnsi" w:cstheme="majorHAnsi"/>
          <w:sz w:val="22"/>
        </w:rPr>
        <w:t xml:space="preserve"> </w:t>
      </w:r>
      <w:r w:rsidRPr="006F1112">
        <w:rPr>
          <w:rFonts w:asciiTheme="majorHAnsi" w:hAnsiTheme="majorHAnsi" w:cstheme="majorHAnsi"/>
          <w:sz w:val="22"/>
        </w:rPr>
        <w:t>Domestic and international travel may be required</w:t>
      </w:r>
      <w:r>
        <w:rPr>
          <w:rFonts w:asciiTheme="majorHAnsi" w:hAnsiTheme="majorHAnsi" w:cstheme="majorHAnsi"/>
          <w:sz w:val="22"/>
        </w:rPr>
        <w:t>.</w:t>
      </w:r>
    </w:p>
    <w:p w14:paraId="71459682" w14:textId="2F00ACE8" w:rsidR="00F05F79" w:rsidRPr="009A1667" w:rsidRDefault="00F05F79" w:rsidP="00F05F79">
      <w:pPr>
        <w:pStyle w:val="Heading1"/>
        <w:rPr>
          <w:rFonts w:asciiTheme="majorHAnsi" w:hAnsiTheme="majorHAnsi" w:cstheme="majorHAnsi"/>
          <w:b/>
          <w:bCs/>
        </w:rPr>
      </w:pPr>
      <w:r w:rsidRPr="009A1667">
        <w:rPr>
          <w:rFonts w:asciiTheme="majorHAnsi" w:hAnsiTheme="majorHAnsi" w:cstheme="majorHAnsi"/>
          <w:b/>
          <w:bCs/>
        </w:rPr>
        <w:t xml:space="preserve">How to apply </w:t>
      </w:r>
    </w:p>
    <w:p w14:paraId="6AF9A09D" w14:textId="2FF8B1FC" w:rsidR="00EA0FF7" w:rsidRPr="00A80B54" w:rsidRDefault="000F1594" w:rsidP="001209CC">
      <w:pPr>
        <w:rPr>
          <w:rFonts w:asciiTheme="majorHAnsi" w:hAnsiTheme="majorHAnsi" w:cstheme="majorHAnsi"/>
          <w:sz w:val="22"/>
        </w:rPr>
      </w:pPr>
      <w:r w:rsidRPr="00A80B54">
        <w:rPr>
          <w:rFonts w:asciiTheme="majorHAnsi" w:hAnsiTheme="majorHAnsi" w:cstheme="majorHAnsi"/>
          <w:sz w:val="22"/>
        </w:rPr>
        <w:t>If you think this role is for you, you can s</w:t>
      </w:r>
      <w:r w:rsidR="00F05F79" w:rsidRPr="00A80B54">
        <w:rPr>
          <w:rFonts w:asciiTheme="majorHAnsi" w:hAnsiTheme="majorHAnsi" w:cstheme="majorHAnsi"/>
          <w:sz w:val="22"/>
        </w:rPr>
        <w:t xml:space="preserve">ubmit your application via </w:t>
      </w:r>
      <w:hyperlink r:id="rId14" w:history="1">
        <w:r w:rsidR="00F05F79" w:rsidRPr="00A80B54">
          <w:rPr>
            <w:rFonts w:asciiTheme="majorHAnsi" w:hAnsiTheme="majorHAnsi" w:cstheme="majorHAnsi"/>
            <w:sz w:val="22"/>
            <w:u w:val="single"/>
          </w:rPr>
          <w:t>www.smartjobs.qld.gov.au</w:t>
        </w:r>
      </w:hyperlink>
      <w:r w:rsidR="00F05F79" w:rsidRPr="00A80B54">
        <w:rPr>
          <w:rFonts w:asciiTheme="majorHAnsi" w:hAnsiTheme="majorHAnsi" w:cstheme="majorHAnsi"/>
          <w:sz w:val="22"/>
        </w:rPr>
        <w:t>. Make sure you include the following:</w:t>
      </w:r>
    </w:p>
    <w:tbl>
      <w:tblPr>
        <w:tblW w:w="5000" w:type="pct"/>
        <w:tblBorders>
          <w:insideH w:val="single" w:sz="4" w:space="0" w:color="auto"/>
          <w:insideV w:val="single" w:sz="4" w:space="0" w:color="auto"/>
        </w:tblBorders>
        <w:shd w:val="clear" w:color="auto" w:fill="ECF6FD"/>
        <w:tblLook w:val="04A0" w:firstRow="1" w:lastRow="0" w:firstColumn="1" w:lastColumn="0" w:noHBand="0" w:noVBand="1"/>
      </w:tblPr>
      <w:tblGrid>
        <w:gridCol w:w="1986"/>
        <w:gridCol w:w="7653"/>
      </w:tblGrid>
      <w:tr w:rsidR="00EA0FF7" w:rsidRPr="00A80B54" w14:paraId="6B4D8842" w14:textId="77777777" w:rsidTr="435B6837">
        <w:tc>
          <w:tcPr>
            <w:tcW w:w="1030" w:type="pct"/>
            <w:tcBorders>
              <w:bottom w:val="single" w:sz="4" w:space="0" w:color="FFFFFF" w:themeColor="background1"/>
              <w:right w:val="single" w:sz="4" w:space="0" w:color="FFFFFF" w:themeColor="background1"/>
            </w:tcBorders>
            <w:shd w:val="clear" w:color="auto" w:fill="B7FFFF" w:themeFill="accent2" w:themeFillTint="33"/>
          </w:tcPr>
          <w:p w14:paraId="0DCA0CDA" w14:textId="77777777" w:rsidR="00EA0FF7" w:rsidRPr="00A80B54" w:rsidRDefault="00EA0FF7" w:rsidP="00CB758C">
            <w:pPr>
              <w:pStyle w:val="TableParagraph"/>
              <w:spacing w:before="120" w:after="120"/>
              <w:ind w:left="0"/>
              <w:rPr>
                <w:rFonts w:asciiTheme="majorHAnsi" w:hAnsiTheme="majorHAnsi" w:cstheme="majorHAnsi"/>
                <w:b/>
              </w:rPr>
            </w:pPr>
            <w:r w:rsidRPr="00A80B54">
              <w:rPr>
                <w:rFonts w:asciiTheme="majorHAnsi" w:hAnsiTheme="majorHAnsi" w:cstheme="majorHAnsi"/>
                <w:b/>
                <w:color w:val="0A0E10"/>
              </w:rPr>
              <w:t>How to apply</w:t>
            </w:r>
          </w:p>
        </w:tc>
        <w:tc>
          <w:tcPr>
            <w:tcW w:w="3970" w:type="pct"/>
            <w:tcBorders>
              <w:left w:val="single" w:sz="4" w:space="0" w:color="FFFFFF" w:themeColor="background1"/>
              <w:bottom w:val="single" w:sz="4" w:space="0" w:color="FFFFFF" w:themeColor="background1"/>
            </w:tcBorders>
            <w:shd w:val="clear" w:color="auto" w:fill="B7FFFF" w:themeFill="accent2" w:themeFillTint="33"/>
          </w:tcPr>
          <w:p w14:paraId="64E74496" w14:textId="03B63D93" w:rsidR="00EF0C27" w:rsidRPr="00EA6C6C" w:rsidRDefault="00EF0C27" w:rsidP="00EF0C27">
            <w:pPr>
              <w:spacing w:after="120" w:line="264" w:lineRule="auto"/>
              <w:rPr>
                <w:rFonts w:eastAsiaTheme="minorEastAsia"/>
                <w:sz w:val="22"/>
              </w:rPr>
            </w:pPr>
            <w:r w:rsidRPr="0C8D9F9B">
              <w:rPr>
                <w:rFonts w:eastAsiaTheme="minorEastAsia"/>
                <w:sz w:val="22"/>
              </w:rPr>
              <w:t>You can apply for this role by</w:t>
            </w:r>
            <w:r w:rsidR="000F7FD5">
              <w:rPr>
                <w:rFonts w:eastAsiaTheme="minorEastAsia"/>
                <w:sz w:val="22"/>
              </w:rPr>
              <w:t xml:space="preserve"> </w:t>
            </w:r>
            <w:r>
              <w:rPr>
                <w:rFonts w:eastAsiaTheme="minorEastAsia"/>
                <w:sz w:val="22"/>
              </w:rPr>
              <w:t>submitting the following document</w:t>
            </w:r>
            <w:r w:rsidR="000F7FD5">
              <w:rPr>
                <w:rFonts w:eastAsiaTheme="minorEastAsia"/>
                <w:sz w:val="22"/>
              </w:rPr>
              <w:t>s</w:t>
            </w:r>
            <w:r w:rsidRPr="0C8D9F9B">
              <w:rPr>
                <w:rFonts w:eastAsiaTheme="minorEastAsia"/>
                <w:sz w:val="22"/>
              </w:rPr>
              <w:t xml:space="preserve"> </w:t>
            </w:r>
            <w:r w:rsidR="000F7FD5">
              <w:rPr>
                <w:rFonts w:eastAsiaTheme="minorEastAsia"/>
                <w:sz w:val="22"/>
              </w:rPr>
              <w:t xml:space="preserve">on the </w:t>
            </w:r>
            <w:r w:rsidRPr="0C8D9F9B">
              <w:rPr>
                <w:rFonts w:eastAsiaTheme="minorEastAsia"/>
                <w:sz w:val="22"/>
              </w:rPr>
              <w:t xml:space="preserve">Smart jobs and careers website </w:t>
            </w:r>
            <w:hyperlink r:id="rId15">
              <w:r w:rsidRPr="0C8D9F9B">
                <w:rPr>
                  <w:rStyle w:val="Hyperlink"/>
                  <w:rFonts w:eastAsiaTheme="minorEastAsia"/>
                  <w:sz w:val="22"/>
                </w:rPr>
                <w:t>www.smartjobs.qld.gov.au</w:t>
              </w:r>
            </w:hyperlink>
            <w:r w:rsidRPr="0C8D9F9B">
              <w:rPr>
                <w:rFonts w:eastAsiaTheme="minorEastAsia"/>
                <w:sz w:val="22"/>
              </w:rPr>
              <w:t xml:space="preserve">. </w:t>
            </w:r>
          </w:p>
          <w:p w14:paraId="788C9029" w14:textId="0BFC73E3" w:rsidR="00400E85" w:rsidRPr="00A80B54" w:rsidRDefault="00F054B2" w:rsidP="00BA07D5">
            <w:pPr>
              <w:pStyle w:val="TableParagraph"/>
              <w:numPr>
                <w:ilvl w:val="0"/>
                <w:numId w:val="7"/>
              </w:numPr>
              <w:spacing w:before="120" w:after="120"/>
              <w:rPr>
                <w:rFonts w:asciiTheme="majorHAnsi" w:hAnsiTheme="majorHAnsi" w:cstheme="majorHAnsi"/>
              </w:rPr>
            </w:pPr>
            <w:r>
              <w:rPr>
                <w:rFonts w:asciiTheme="majorHAnsi" w:hAnsiTheme="majorHAnsi" w:cstheme="majorHAnsi"/>
                <w:b/>
                <w:bCs/>
              </w:rPr>
              <w:t xml:space="preserve">A </w:t>
            </w:r>
            <w:r w:rsidR="00EA0FF7" w:rsidRPr="00A80B54">
              <w:rPr>
                <w:rFonts w:asciiTheme="majorHAnsi" w:hAnsiTheme="majorHAnsi" w:cstheme="majorHAnsi"/>
                <w:b/>
                <w:bCs/>
              </w:rPr>
              <w:t>current resume</w:t>
            </w:r>
            <w:r w:rsidR="00EA0FF7" w:rsidRPr="00A80B54">
              <w:rPr>
                <w:rFonts w:asciiTheme="majorHAnsi" w:hAnsiTheme="majorHAnsi" w:cstheme="majorHAnsi"/>
              </w:rPr>
              <w:t>, with the names and contact details of two (2) referees with thorough knowledge of your competencies for this role. One of whom should be your current or immediate past supervisor.</w:t>
            </w:r>
          </w:p>
          <w:p w14:paraId="2DE5FDFC" w14:textId="3BE84474" w:rsidR="00E64814" w:rsidRPr="00524FA2" w:rsidRDefault="00524FA2" w:rsidP="00524FA2">
            <w:pPr>
              <w:pStyle w:val="ListParagraph"/>
              <w:rPr>
                <w:rFonts w:asciiTheme="majorHAnsi" w:hAnsiTheme="majorHAnsi" w:cstheme="majorBidi"/>
                <w:sz w:val="22"/>
              </w:rPr>
            </w:pPr>
            <w:r w:rsidRPr="00524FA2">
              <w:rPr>
                <w:rFonts w:asciiTheme="majorHAnsi" w:hAnsiTheme="majorHAnsi" w:cstheme="majorBidi"/>
                <w:b/>
                <w:bCs/>
                <w:sz w:val="22"/>
              </w:rPr>
              <w:t xml:space="preserve">A cover letter </w:t>
            </w:r>
            <w:r w:rsidRPr="00524FA2">
              <w:rPr>
                <w:rFonts w:asciiTheme="majorHAnsi" w:hAnsiTheme="majorHAnsi" w:cstheme="majorBidi"/>
                <w:sz w:val="22"/>
              </w:rPr>
              <w:t xml:space="preserve">(maximum 2 pages) </w:t>
            </w:r>
            <w:r w:rsidR="00FB612E" w:rsidRPr="00FB612E">
              <w:rPr>
                <w:rFonts w:asciiTheme="majorHAnsi" w:hAnsiTheme="majorHAnsi" w:cstheme="majorBidi"/>
                <w:sz w:val="22"/>
              </w:rPr>
              <w:t>telling us why you are interested in this role. This is your opportunity to tell us about your experience, what makes you the best person for the role and how you meet the key capabilities for the role (please do not restate your resume).</w:t>
            </w:r>
          </w:p>
        </w:tc>
      </w:tr>
      <w:tr w:rsidR="00400E85" w:rsidRPr="00A80B54" w14:paraId="2B326090" w14:textId="77777777" w:rsidTr="435B6837">
        <w:tc>
          <w:tcPr>
            <w:tcW w:w="1030" w:type="pct"/>
            <w:tcBorders>
              <w:top w:val="single" w:sz="4" w:space="0" w:color="FFFFFF" w:themeColor="background1"/>
              <w:right w:val="single" w:sz="4" w:space="0" w:color="FFFFFF" w:themeColor="background1"/>
            </w:tcBorders>
            <w:shd w:val="clear" w:color="auto" w:fill="B7FFFF" w:themeFill="accent2" w:themeFillTint="33"/>
          </w:tcPr>
          <w:p w14:paraId="776ED8E1" w14:textId="497FAE7E" w:rsidR="00400E85" w:rsidRPr="00A80B54" w:rsidRDefault="00400E85" w:rsidP="00CB758C">
            <w:pPr>
              <w:pStyle w:val="TableParagraph"/>
              <w:spacing w:before="120" w:after="120"/>
              <w:ind w:left="0"/>
              <w:rPr>
                <w:rFonts w:asciiTheme="majorHAnsi" w:hAnsiTheme="majorHAnsi" w:cstheme="majorHAnsi"/>
                <w:b/>
                <w:color w:val="0A0E10"/>
              </w:rPr>
            </w:pPr>
            <w:r w:rsidRPr="00A80B54">
              <w:rPr>
                <w:rFonts w:asciiTheme="majorHAnsi" w:hAnsiTheme="majorHAnsi" w:cstheme="majorHAnsi"/>
                <w:b/>
                <w:color w:val="0A0E10"/>
              </w:rPr>
              <w:t xml:space="preserve">Additional information </w:t>
            </w:r>
          </w:p>
        </w:tc>
        <w:tc>
          <w:tcPr>
            <w:tcW w:w="3970" w:type="pct"/>
            <w:tcBorders>
              <w:top w:val="single" w:sz="4" w:space="0" w:color="FFFFFF" w:themeColor="background1"/>
              <w:left w:val="single" w:sz="4" w:space="0" w:color="FFFFFF" w:themeColor="background1"/>
            </w:tcBorders>
            <w:shd w:val="clear" w:color="auto" w:fill="B7FFFF" w:themeFill="accent2" w:themeFillTint="33"/>
          </w:tcPr>
          <w:p w14:paraId="299BF877" w14:textId="77777777" w:rsidR="00400E85" w:rsidRPr="008C1022" w:rsidRDefault="00400E85" w:rsidP="008C1022">
            <w:pPr>
              <w:pStyle w:val="ListParagraph"/>
              <w:rPr>
                <w:rFonts w:asciiTheme="majorHAnsi" w:hAnsiTheme="majorHAnsi" w:cstheme="majorHAnsi"/>
                <w:sz w:val="22"/>
              </w:rPr>
            </w:pPr>
            <w:r w:rsidRPr="008C1022">
              <w:rPr>
                <w:rFonts w:asciiTheme="majorHAnsi" w:hAnsiTheme="majorHAnsi" w:cstheme="majorHAnsi"/>
                <w:sz w:val="22"/>
              </w:rPr>
              <w:t>For additional information about TIQ, employee entitlements and the recruitment and selection process, please view the accompanying candidate information pack.</w:t>
            </w:r>
          </w:p>
          <w:p w14:paraId="38C9552C" w14:textId="77777777" w:rsidR="00D33272" w:rsidRPr="008C1022" w:rsidRDefault="00175353" w:rsidP="008C1022">
            <w:pPr>
              <w:pStyle w:val="ListParagraph"/>
              <w:rPr>
                <w:rFonts w:asciiTheme="majorHAnsi" w:hAnsiTheme="majorHAnsi" w:cstheme="majorHAnsi"/>
                <w:sz w:val="22"/>
              </w:rPr>
            </w:pPr>
            <w:r w:rsidRPr="008C1022">
              <w:rPr>
                <w:rFonts w:asciiTheme="majorHAnsi" w:hAnsiTheme="majorHAnsi" w:cstheme="majorHAnsi"/>
                <w:sz w:val="22"/>
              </w:rPr>
              <w:t>Applications will remain current for a period of up to 12 months after the closing date of the vacancy and may be considered for other identical or similar vacancies which may be available.</w:t>
            </w:r>
          </w:p>
          <w:p w14:paraId="72831E68" w14:textId="1EB2CCDC" w:rsidR="008C1022" w:rsidRPr="008C1022" w:rsidRDefault="008C1022" w:rsidP="008C1022">
            <w:pPr>
              <w:pStyle w:val="ListParagraph"/>
            </w:pPr>
            <w:r w:rsidRPr="006F1112">
              <w:rPr>
                <w:rFonts w:asciiTheme="majorHAnsi" w:hAnsiTheme="majorHAnsi" w:cstheme="majorHAnsi"/>
                <w:sz w:val="22"/>
              </w:rPr>
              <w:t>We strongly encourage applicants from all life experiences and backgrounds to apply. Please let the contact person know of any adjustments that will support you during the recruitment process, such as interpreting services, physical requirements, and/or assistive technologies.</w:t>
            </w:r>
          </w:p>
        </w:tc>
      </w:tr>
    </w:tbl>
    <w:p w14:paraId="72E78555" w14:textId="2051CE0C" w:rsidR="006F2C94" w:rsidRPr="00A80B54" w:rsidRDefault="00654E78" w:rsidP="00FF310F">
      <w:pPr>
        <w:rPr>
          <w:rFonts w:asciiTheme="majorHAnsi" w:hAnsiTheme="majorHAnsi" w:cstheme="majorHAnsi"/>
        </w:rPr>
      </w:pPr>
      <w:r w:rsidRPr="00A80B54">
        <w:rPr>
          <w:rFonts w:asciiTheme="majorHAnsi" w:hAnsiTheme="majorHAnsi" w:cstheme="majorHAnsi"/>
          <w:noProof/>
        </w:rPr>
        <mc:AlternateContent>
          <mc:Choice Requires="wps">
            <w:drawing>
              <wp:anchor distT="0" distB="0" distL="114300" distR="114300" simplePos="0" relativeHeight="251658240" behindDoc="0" locked="0" layoutInCell="1" allowOverlap="0" wp14:anchorId="4F19464A" wp14:editId="0F7CD5C1">
                <wp:simplePos x="0" y="0"/>
                <wp:positionH relativeFrom="margin">
                  <wp:align>left</wp:align>
                </wp:positionH>
                <wp:positionV relativeFrom="paragraph">
                  <wp:posOffset>112863</wp:posOffset>
                </wp:positionV>
                <wp:extent cx="5994000" cy="1105839"/>
                <wp:effectExtent l="0" t="0" r="26035" b="18415"/>
                <wp:wrapNone/>
                <wp:docPr id="1982861987" name="Text Box 2"/>
                <wp:cNvGraphicFramePr/>
                <a:graphic xmlns:a="http://schemas.openxmlformats.org/drawingml/2006/main">
                  <a:graphicData uri="http://schemas.microsoft.com/office/word/2010/wordprocessingShape">
                    <wps:wsp>
                      <wps:cNvSpPr txBox="1"/>
                      <wps:spPr>
                        <a:xfrm>
                          <a:off x="0" y="0"/>
                          <a:ext cx="5994000" cy="1105839"/>
                        </a:xfrm>
                        <a:prstGeom prst="rect">
                          <a:avLst/>
                        </a:prstGeom>
                        <a:solidFill>
                          <a:srgbClr val="000033"/>
                        </a:solidFill>
                        <a:ln w="6350">
                          <a:solidFill>
                            <a:schemeClr val="accent6"/>
                          </a:solidFill>
                        </a:ln>
                      </wps:spPr>
                      <wps:txbx>
                        <w:txbxContent>
                          <w:p w14:paraId="778626AC" w14:textId="77777777" w:rsidR="00654E78" w:rsidRDefault="003C5C39" w:rsidP="00EB1020">
                            <w:pPr>
                              <w:pStyle w:val="NoSpacing"/>
                              <w:spacing w:after="120" w:line="276" w:lineRule="auto"/>
                              <w:jc w:val="center"/>
                              <w:rPr>
                                <w:szCs w:val="20"/>
                              </w:rPr>
                            </w:pPr>
                            <w:r w:rsidRPr="009D3332">
                              <w:rPr>
                                <w:szCs w:val="20"/>
                              </w:rPr>
                              <w:t xml:space="preserve">Trade and Investment Queensland </w:t>
                            </w:r>
                            <w:proofErr w:type="gramStart"/>
                            <w:r w:rsidRPr="009D3332">
                              <w:rPr>
                                <w:szCs w:val="20"/>
                              </w:rPr>
                              <w:t>acknowledges</w:t>
                            </w:r>
                            <w:proofErr w:type="gramEnd"/>
                            <w:r w:rsidRPr="009D3332">
                              <w:rPr>
                                <w:szCs w:val="20"/>
                              </w:rPr>
                              <w:t xml:space="preserve"> the First Nations – Aboriginal peoples and Torres Strait Islander peoples, as the Traditional Owners of the lands throughout Australia, and their connection to country and community. </w:t>
                            </w:r>
                          </w:p>
                          <w:p w14:paraId="7FCC9C2F" w14:textId="22F5B9D3" w:rsidR="003C5C39" w:rsidRPr="009D3332" w:rsidRDefault="003C5C39" w:rsidP="006F2C94">
                            <w:pPr>
                              <w:pStyle w:val="NoSpacing"/>
                              <w:spacing w:line="276" w:lineRule="auto"/>
                              <w:jc w:val="center"/>
                              <w:rPr>
                                <w:szCs w:val="20"/>
                              </w:rPr>
                            </w:pPr>
                            <w:r w:rsidRPr="009D3332">
                              <w:rPr>
                                <w:szCs w:val="20"/>
                              </w:rPr>
                              <w:t>We pay our respect</w:t>
                            </w:r>
                            <w:r w:rsidR="009D3332">
                              <w:rPr>
                                <w:szCs w:val="20"/>
                              </w:rPr>
                              <w:t>s</w:t>
                            </w:r>
                            <w:r w:rsidRPr="009D3332">
                              <w:rPr>
                                <w:szCs w:val="20"/>
                              </w:rPr>
                              <w:t xml:space="preserve"> to all Traditional Owners, and to their Elders past present and emerging</w:t>
                            </w:r>
                            <w:r w:rsidR="006F2C94" w:rsidRPr="009D3332">
                              <w:rPr>
                                <w:szCs w:val="20"/>
                              </w:rPr>
                              <w: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9464A" id="_x0000_t202" coordsize="21600,21600" o:spt="202" path="m,l,21600r21600,l21600,xe">
                <v:stroke joinstyle="miter"/>
                <v:path gradientshapeok="t" o:connecttype="rect"/>
              </v:shapetype>
              <v:shape id="Text Box 2" o:spid="_x0000_s1026" type="#_x0000_t202" style="position:absolute;margin-left:0;margin-top:8.9pt;width:471.95pt;height:87.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" o:allowoverlap="f" fillcolor="#003" strokecolor="#003 [3209]" strokeweight=".5pt">
                <v:textbox inset="5mm,5mm,5mm,5mm">
                  <w:txbxContent>
                    <w:p w14:paraId="778626AC" w14:textId="77777777" w:rsidR="00654E78" w:rsidRDefault="003C5C39" w:rsidP="00EB1020">
                      <w:pPr>
                        <w:pStyle w:val="NoSpacing"/>
                        <w:spacing w:after="120" w:line="276" w:lineRule="auto"/>
                        <w:jc w:val="center"/>
                        <w:rPr>
                          <w:szCs w:val="20"/>
                        </w:rPr>
                      </w:pPr>
                      <w:r w:rsidRPr="009D3332">
                        <w:rPr>
                          <w:szCs w:val="20"/>
                        </w:rPr>
                        <w:t xml:space="preserve">Trade and Investment Queensland </w:t>
                      </w:r>
                      <w:proofErr w:type="gramStart"/>
                      <w:r w:rsidRPr="009D3332">
                        <w:rPr>
                          <w:szCs w:val="20"/>
                        </w:rPr>
                        <w:t>acknowledges</w:t>
                      </w:r>
                      <w:proofErr w:type="gramEnd"/>
                      <w:r w:rsidRPr="009D3332">
                        <w:rPr>
                          <w:szCs w:val="20"/>
                        </w:rPr>
                        <w:t xml:space="preserve"> the First Nations – Aboriginal peoples and Torres Strait Islander peoples, as the Traditional Owners of the lands throughout Australia, and their connection to country and community. </w:t>
                      </w:r>
                    </w:p>
                    <w:p w14:paraId="7FCC9C2F" w14:textId="22F5B9D3" w:rsidR="003C5C39" w:rsidRPr="009D3332" w:rsidRDefault="003C5C39" w:rsidP="006F2C94">
                      <w:pPr>
                        <w:pStyle w:val="NoSpacing"/>
                        <w:spacing w:line="276" w:lineRule="auto"/>
                        <w:jc w:val="center"/>
                        <w:rPr>
                          <w:szCs w:val="20"/>
                        </w:rPr>
                      </w:pPr>
                      <w:r w:rsidRPr="009D3332">
                        <w:rPr>
                          <w:szCs w:val="20"/>
                        </w:rPr>
                        <w:t>We pay our respect</w:t>
                      </w:r>
                      <w:r w:rsidR="009D3332">
                        <w:rPr>
                          <w:szCs w:val="20"/>
                        </w:rPr>
                        <w:t>s</w:t>
                      </w:r>
                      <w:r w:rsidRPr="009D3332">
                        <w:rPr>
                          <w:szCs w:val="20"/>
                        </w:rPr>
                        <w:t xml:space="preserve"> to all Traditional Owners, and to their Elders past present and emerging</w:t>
                      </w:r>
                      <w:r w:rsidR="006F2C94" w:rsidRPr="009D3332">
                        <w:rPr>
                          <w:szCs w:val="20"/>
                        </w:rPr>
                        <w:t>.</w:t>
                      </w:r>
                    </w:p>
                  </w:txbxContent>
                </v:textbox>
                <w10:wrap anchorx="margin"/>
              </v:shape>
            </w:pict>
          </mc:Fallback>
        </mc:AlternateContent>
      </w:r>
    </w:p>
    <w:sectPr w:rsidR="006F2C94" w:rsidRPr="00A80B54" w:rsidSect="00C02676">
      <w:headerReference w:type="even" r:id="rId16"/>
      <w:headerReference w:type="default" r:id="rId17"/>
      <w:footerReference w:type="even" r:id="rId18"/>
      <w:footerReference w:type="default" r:id="rId19"/>
      <w:headerReference w:type="first" r:id="rId20"/>
      <w:footerReference w:type="first" r:id="rId21"/>
      <w:pgSz w:w="11907" w:h="16839" w:code="9"/>
      <w:pgMar w:top="2977" w:right="1134" w:bottom="1134" w:left="1134" w:header="85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5AEC2" w14:textId="77777777" w:rsidR="004028C3" w:rsidRDefault="004028C3" w:rsidP="00824DFA">
      <w:pPr>
        <w:spacing w:after="0"/>
      </w:pPr>
      <w:r>
        <w:separator/>
      </w:r>
    </w:p>
    <w:p w14:paraId="517E05C4" w14:textId="77777777" w:rsidR="004028C3" w:rsidRDefault="004028C3"/>
  </w:endnote>
  <w:endnote w:type="continuationSeparator" w:id="0">
    <w:p w14:paraId="01D6B322" w14:textId="77777777" w:rsidR="004028C3" w:rsidRDefault="004028C3" w:rsidP="00824DFA">
      <w:pPr>
        <w:spacing w:after="0"/>
      </w:pPr>
      <w:r>
        <w:continuationSeparator/>
      </w:r>
    </w:p>
    <w:p w14:paraId="24A2D1EE" w14:textId="77777777" w:rsidR="004028C3" w:rsidRDefault="004028C3"/>
  </w:endnote>
  <w:endnote w:type="continuationNotice" w:id="1">
    <w:p w14:paraId="1431B9A5" w14:textId="77777777" w:rsidR="004028C3" w:rsidRDefault="004028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Mangal">
    <w:panose1 w:val="00000400000000000000"/>
    <w:charset w:val="00"/>
    <w:family w:val="roman"/>
    <w:pitch w:val="variable"/>
    <w:sig w:usb0="00008003" w:usb1="00000000" w:usb2="00000000" w:usb3="00000000" w:csb0="00000001"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ngs">
    <w:altName w:val="MS Mincho"/>
    <w:panose1 w:val="00000000000000000000"/>
    <w:charset w:val="80"/>
    <w:family w:val="roman"/>
    <w:notTrueType/>
    <w:pitch w:val="fixed"/>
    <w:sig w:usb0="00000001"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E646F" w14:textId="77777777" w:rsidR="00991717" w:rsidRDefault="00991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59AA37D0" w14:paraId="14278E16" w14:textId="77777777" w:rsidTr="59AA37D0">
      <w:trPr>
        <w:trHeight w:val="300"/>
      </w:trPr>
      <w:tc>
        <w:tcPr>
          <w:tcW w:w="3210" w:type="dxa"/>
        </w:tcPr>
        <w:p w14:paraId="7E064B86" w14:textId="3774255D" w:rsidR="59AA37D0" w:rsidRDefault="59AA37D0" w:rsidP="59AA37D0">
          <w:pPr>
            <w:pStyle w:val="Header"/>
            <w:ind w:left="-115"/>
          </w:pPr>
        </w:p>
      </w:tc>
      <w:tc>
        <w:tcPr>
          <w:tcW w:w="3210" w:type="dxa"/>
        </w:tcPr>
        <w:p w14:paraId="368C486D" w14:textId="3D76C441" w:rsidR="59AA37D0" w:rsidRDefault="59AA37D0" w:rsidP="59AA37D0">
          <w:pPr>
            <w:pStyle w:val="Header"/>
            <w:jc w:val="center"/>
          </w:pPr>
        </w:p>
      </w:tc>
      <w:tc>
        <w:tcPr>
          <w:tcW w:w="3210" w:type="dxa"/>
        </w:tcPr>
        <w:p w14:paraId="635B8EE5" w14:textId="6B4F1460" w:rsidR="59AA37D0" w:rsidRDefault="59AA37D0" w:rsidP="59AA37D0">
          <w:pPr>
            <w:pStyle w:val="Header"/>
            <w:ind w:right="-115"/>
            <w:jc w:val="right"/>
          </w:pPr>
        </w:p>
      </w:tc>
    </w:tr>
  </w:tbl>
  <w:p w14:paraId="60046E69" w14:textId="35AE3AD5" w:rsidR="59AA37D0" w:rsidRDefault="59AA37D0" w:rsidP="59AA3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C727" w14:textId="77777777" w:rsidR="00991717" w:rsidRDefault="00991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7FCED" w14:textId="77777777" w:rsidR="004028C3" w:rsidRDefault="004028C3" w:rsidP="00824DFA">
      <w:pPr>
        <w:spacing w:after="0"/>
      </w:pPr>
      <w:r>
        <w:separator/>
      </w:r>
    </w:p>
    <w:p w14:paraId="00DECDD8" w14:textId="77777777" w:rsidR="004028C3" w:rsidRDefault="004028C3"/>
  </w:footnote>
  <w:footnote w:type="continuationSeparator" w:id="0">
    <w:p w14:paraId="487B4D50" w14:textId="77777777" w:rsidR="004028C3" w:rsidRDefault="004028C3" w:rsidP="00824DFA">
      <w:pPr>
        <w:spacing w:after="0"/>
      </w:pPr>
      <w:r>
        <w:continuationSeparator/>
      </w:r>
    </w:p>
    <w:p w14:paraId="3D51DCCA" w14:textId="77777777" w:rsidR="004028C3" w:rsidRDefault="004028C3"/>
  </w:footnote>
  <w:footnote w:type="continuationNotice" w:id="1">
    <w:p w14:paraId="19367971" w14:textId="77777777" w:rsidR="004028C3" w:rsidRDefault="004028C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8658" w14:textId="77777777" w:rsidR="00991717" w:rsidRDefault="00991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3F043" w14:textId="2B82BF08" w:rsidR="00D632F9" w:rsidRDefault="003E0E44">
    <w:pPr>
      <w:pStyle w:val="Header"/>
    </w:pPr>
    <w:r>
      <w:rPr>
        <w:noProof/>
      </w:rPr>
      <w:drawing>
        <wp:anchor distT="0" distB="0" distL="114300" distR="114300" simplePos="0" relativeHeight="251658240" behindDoc="1" locked="0" layoutInCell="1" allowOverlap="1" wp14:anchorId="096B3F06" wp14:editId="73DC8A9F">
          <wp:simplePos x="0" y="0"/>
          <wp:positionH relativeFrom="margin">
            <wp:align>left</wp:align>
          </wp:positionH>
          <wp:positionV relativeFrom="page">
            <wp:posOffset>393700</wp:posOffset>
          </wp:positionV>
          <wp:extent cx="3585845" cy="539750"/>
          <wp:effectExtent l="0" t="0" r="0" b="0"/>
          <wp:wrapThrough wrapText="bothSides">
            <wp:wrapPolygon edited="0">
              <wp:start x="918" y="0"/>
              <wp:lineTo x="0" y="2287"/>
              <wp:lineTo x="0" y="19821"/>
              <wp:lineTo x="344" y="20584"/>
              <wp:lineTo x="3098" y="20584"/>
              <wp:lineTo x="3672" y="20584"/>
              <wp:lineTo x="21458" y="20584"/>
              <wp:lineTo x="21344" y="1525"/>
              <wp:lineTo x="19737" y="762"/>
              <wp:lineTo x="1492" y="0"/>
              <wp:lineTo x="918" y="0"/>
            </wp:wrapPolygon>
          </wp:wrapThrough>
          <wp:docPr id="860675283" name="Picture 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36303" name="Picture 2"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584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C9A">
      <w:rPr>
        <w:noProof/>
      </w:rPr>
      <mc:AlternateContent>
        <mc:Choice Requires="wps">
          <w:drawing>
            <wp:anchor distT="0" distB="0" distL="114300" distR="114300" simplePos="0" relativeHeight="251656192" behindDoc="0" locked="0" layoutInCell="1" allowOverlap="1" wp14:anchorId="410263AA" wp14:editId="1D25BBBC">
              <wp:simplePos x="0" y="0"/>
              <wp:positionH relativeFrom="column">
                <wp:posOffset>-711037</wp:posOffset>
              </wp:positionH>
              <wp:positionV relativeFrom="paragraph">
                <wp:posOffset>-530697</wp:posOffset>
              </wp:positionV>
              <wp:extent cx="7541895" cy="1348967"/>
              <wp:effectExtent l="0" t="0" r="20955" b="22860"/>
              <wp:wrapNone/>
              <wp:docPr id="1891955344" name="Rectangle 1"/>
              <wp:cNvGraphicFramePr/>
              <a:graphic xmlns:a="http://schemas.openxmlformats.org/drawingml/2006/main">
                <a:graphicData uri="http://schemas.microsoft.com/office/word/2010/wordprocessingShape">
                  <wps:wsp>
                    <wps:cNvSpPr/>
                    <wps:spPr>
                      <a:xfrm>
                        <a:off x="0" y="0"/>
                        <a:ext cx="7541895" cy="1348967"/>
                      </a:xfrm>
                      <a:prstGeom prst="rect">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F99C531">
            <v:rect id="Rectangle 1" style="position:absolute;margin-left:-56pt;margin-top:-41.8pt;width:593.85pt;height:106.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3 [3209]" strokecolor="#000007 [489]" strokeweight="2pt" w14:anchorId="27848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"/>
          </w:pict>
        </mc:Fallback>
      </mc:AlternateContent>
    </w:r>
    <w:r w:rsidR="0055053B">
      <w:rPr>
        <w:noProof/>
      </w:rPr>
      <w:drawing>
        <wp:anchor distT="0" distB="0" distL="114300" distR="114300" simplePos="0" relativeHeight="251657216" behindDoc="1" locked="0" layoutInCell="1" allowOverlap="1" wp14:anchorId="279720B5" wp14:editId="5BBEB690">
          <wp:simplePos x="0" y="0"/>
          <wp:positionH relativeFrom="column">
            <wp:posOffset>4811395</wp:posOffset>
          </wp:positionH>
          <wp:positionV relativeFrom="page">
            <wp:posOffset>226116</wp:posOffset>
          </wp:positionV>
          <wp:extent cx="2014220" cy="883285"/>
          <wp:effectExtent l="0" t="0" r="5080" b="0"/>
          <wp:wrapTight wrapText="bothSides">
            <wp:wrapPolygon edited="0">
              <wp:start x="0" y="0"/>
              <wp:lineTo x="0" y="6056"/>
              <wp:lineTo x="3473" y="7454"/>
              <wp:lineTo x="409" y="14907"/>
              <wp:lineTo x="0" y="15373"/>
              <wp:lineTo x="0" y="20963"/>
              <wp:lineTo x="21450" y="20963"/>
              <wp:lineTo x="21450" y="15373"/>
              <wp:lineTo x="21042" y="14907"/>
              <wp:lineTo x="17977" y="7454"/>
              <wp:lineTo x="21450" y="6056"/>
              <wp:lineTo x="21450" y="0"/>
              <wp:lineTo x="0" y="0"/>
            </wp:wrapPolygon>
          </wp:wrapTight>
          <wp:docPr id="428783853" name="Picture 1" descr="A blue arrow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2744" name="Picture 1" descr="A blue arrow with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4220" cy="8832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0B82" w14:textId="77777777" w:rsidR="00991717" w:rsidRDefault="00991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971"/>
    <w:multiLevelType w:val="multilevel"/>
    <w:tmpl w:val="E6A609C8"/>
    <w:lvl w:ilvl="0">
      <w:start w:val="1"/>
      <w:numFmt w:val="bullet"/>
      <w:lvlText w:val=""/>
      <w:lvlJc w:val="left"/>
      <w:pPr>
        <w:ind w:left="357" w:hanging="357"/>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797" w:hanging="357"/>
      </w:pPr>
      <w:rPr>
        <w:rFonts w:ascii="Arial" w:hAnsi="Arial" w:hint="default"/>
      </w:rPr>
    </w:lvl>
    <w:lvl w:ilvl="3">
      <w:start w:val="1"/>
      <w:numFmt w:val="bullet"/>
      <w:lvlText w:val="‒"/>
      <w:lvlJc w:val="left"/>
      <w:pPr>
        <w:ind w:left="2517" w:hanging="357"/>
      </w:pPr>
      <w:rPr>
        <w:rFonts w:ascii="Arial" w:hAnsi="Arial" w:hint="default"/>
      </w:rPr>
    </w:lvl>
    <w:lvl w:ilvl="4">
      <w:start w:val="1"/>
      <w:numFmt w:val="bullet"/>
      <w:lvlText w:val="‒"/>
      <w:lvlJc w:val="left"/>
      <w:pPr>
        <w:ind w:left="3237" w:hanging="357"/>
      </w:pPr>
      <w:rPr>
        <w:rFonts w:ascii="Arial" w:hAnsi="Arial" w:hint="default"/>
      </w:rPr>
    </w:lvl>
    <w:lvl w:ilvl="5">
      <w:start w:val="1"/>
      <w:numFmt w:val="bullet"/>
      <w:lvlText w:val="‒"/>
      <w:lvlJc w:val="left"/>
      <w:pPr>
        <w:ind w:left="3957" w:hanging="357"/>
      </w:pPr>
      <w:rPr>
        <w:rFonts w:ascii="Arial" w:hAnsi="Arial" w:hint="default"/>
      </w:rPr>
    </w:lvl>
    <w:lvl w:ilvl="6">
      <w:start w:val="1"/>
      <w:numFmt w:val="bullet"/>
      <w:lvlText w:val="‒"/>
      <w:lvlJc w:val="left"/>
      <w:pPr>
        <w:ind w:left="4677" w:hanging="357"/>
      </w:pPr>
      <w:rPr>
        <w:rFonts w:ascii="Arial" w:hAnsi="Arial" w:hint="default"/>
      </w:rPr>
    </w:lvl>
    <w:lvl w:ilvl="7">
      <w:start w:val="1"/>
      <w:numFmt w:val="bullet"/>
      <w:lvlText w:val="‒"/>
      <w:lvlJc w:val="left"/>
      <w:pPr>
        <w:ind w:left="5397" w:hanging="357"/>
      </w:pPr>
      <w:rPr>
        <w:rFonts w:ascii="Arial" w:hAnsi="Arial" w:hint="default"/>
      </w:rPr>
    </w:lvl>
    <w:lvl w:ilvl="8">
      <w:start w:val="1"/>
      <w:numFmt w:val="bullet"/>
      <w:lvlText w:val="‒"/>
      <w:lvlJc w:val="left"/>
      <w:pPr>
        <w:ind w:left="6117" w:hanging="357"/>
      </w:pPr>
      <w:rPr>
        <w:rFonts w:ascii="Arial" w:hAnsi="Arial" w:hint="default"/>
      </w:rPr>
    </w:lvl>
  </w:abstractNum>
  <w:abstractNum w:abstractNumId="1" w15:restartNumberingAfterBreak="0">
    <w:nsid w:val="0E1D1A17"/>
    <w:multiLevelType w:val="hybridMultilevel"/>
    <w:tmpl w:val="17104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266F52"/>
    <w:multiLevelType w:val="multilevel"/>
    <w:tmpl w:val="F9105EB0"/>
    <w:lvl w:ilvl="0">
      <w:start w:val="1"/>
      <w:numFmt w:val="bullet"/>
      <w:pStyle w:val="ListParagraph"/>
      <w:lvlText w:val=""/>
      <w:lvlJc w:val="left"/>
      <w:pPr>
        <w:ind w:left="357" w:hanging="357"/>
      </w:pPr>
      <w:rPr>
        <w:rFonts w:ascii="Symbol" w:hAnsi="Symbol" w:hint="default"/>
        <w:color w:val="auto"/>
      </w:rPr>
    </w:lvl>
    <w:lvl w:ilvl="1">
      <w:start w:val="1"/>
      <w:numFmt w:val="bullet"/>
      <w:lvlText w:val="‒"/>
      <w:lvlJc w:val="left"/>
      <w:pPr>
        <w:ind w:left="1077" w:hanging="357"/>
      </w:pPr>
      <w:rPr>
        <w:rFonts w:ascii="Arial" w:hAnsi="Arial" w:hint="default"/>
      </w:rPr>
    </w:lvl>
    <w:lvl w:ilvl="2">
      <w:start w:val="1"/>
      <w:numFmt w:val="bullet"/>
      <w:lvlText w:val="‒"/>
      <w:lvlJc w:val="left"/>
      <w:pPr>
        <w:ind w:left="1797" w:hanging="357"/>
      </w:pPr>
      <w:rPr>
        <w:rFonts w:ascii="Arial" w:hAnsi="Arial" w:hint="default"/>
      </w:rPr>
    </w:lvl>
    <w:lvl w:ilvl="3">
      <w:start w:val="1"/>
      <w:numFmt w:val="bullet"/>
      <w:lvlText w:val="‒"/>
      <w:lvlJc w:val="left"/>
      <w:pPr>
        <w:ind w:left="2517" w:hanging="357"/>
      </w:pPr>
      <w:rPr>
        <w:rFonts w:ascii="Arial" w:hAnsi="Arial" w:hint="default"/>
      </w:rPr>
    </w:lvl>
    <w:lvl w:ilvl="4">
      <w:start w:val="1"/>
      <w:numFmt w:val="bullet"/>
      <w:lvlText w:val="‒"/>
      <w:lvlJc w:val="left"/>
      <w:pPr>
        <w:ind w:left="3237" w:hanging="357"/>
      </w:pPr>
      <w:rPr>
        <w:rFonts w:ascii="Arial" w:hAnsi="Arial" w:hint="default"/>
      </w:rPr>
    </w:lvl>
    <w:lvl w:ilvl="5">
      <w:start w:val="1"/>
      <w:numFmt w:val="bullet"/>
      <w:lvlText w:val="‒"/>
      <w:lvlJc w:val="left"/>
      <w:pPr>
        <w:ind w:left="3957" w:hanging="357"/>
      </w:pPr>
      <w:rPr>
        <w:rFonts w:ascii="Arial" w:hAnsi="Arial" w:hint="default"/>
      </w:rPr>
    </w:lvl>
    <w:lvl w:ilvl="6">
      <w:start w:val="1"/>
      <w:numFmt w:val="bullet"/>
      <w:lvlText w:val="‒"/>
      <w:lvlJc w:val="left"/>
      <w:pPr>
        <w:ind w:left="4677" w:hanging="357"/>
      </w:pPr>
      <w:rPr>
        <w:rFonts w:ascii="Arial" w:hAnsi="Arial" w:hint="default"/>
      </w:rPr>
    </w:lvl>
    <w:lvl w:ilvl="7">
      <w:start w:val="1"/>
      <w:numFmt w:val="bullet"/>
      <w:lvlText w:val="‒"/>
      <w:lvlJc w:val="left"/>
      <w:pPr>
        <w:ind w:left="5397" w:hanging="357"/>
      </w:pPr>
      <w:rPr>
        <w:rFonts w:ascii="Arial" w:hAnsi="Arial" w:hint="default"/>
      </w:rPr>
    </w:lvl>
    <w:lvl w:ilvl="8">
      <w:start w:val="1"/>
      <w:numFmt w:val="bullet"/>
      <w:lvlText w:val="‒"/>
      <w:lvlJc w:val="left"/>
      <w:pPr>
        <w:ind w:left="6117" w:hanging="357"/>
      </w:pPr>
      <w:rPr>
        <w:rFonts w:ascii="Arial" w:hAnsi="Arial" w:hint="default"/>
      </w:rPr>
    </w:lvl>
  </w:abstractNum>
  <w:abstractNum w:abstractNumId="3" w15:restartNumberingAfterBreak="0">
    <w:nsid w:val="1FFE0C81"/>
    <w:multiLevelType w:val="hybridMultilevel"/>
    <w:tmpl w:val="B39CDFCA"/>
    <w:lvl w:ilvl="0" w:tplc="E758A4F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4032D6D"/>
    <w:multiLevelType w:val="hybridMultilevel"/>
    <w:tmpl w:val="5C12A8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AF36674"/>
    <w:multiLevelType w:val="multilevel"/>
    <w:tmpl w:val="25CC568C"/>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Arial" w:hAnsi="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6A5E632F"/>
    <w:multiLevelType w:val="hybridMultilevel"/>
    <w:tmpl w:val="4378A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3558930">
    <w:abstractNumId w:val="5"/>
  </w:num>
  <w:num w:numId="2" w16cid:durableId="17417503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6468662">
    <w:abstractNumId w:val="4"/>
  </w:num>
  <w:num w:numId="4" w16cid:durableId="1744327201">
    <w:abstractNumId w:val="0"/>
  </w:num>
  <w:num w:numId="5" w16cid:durableId="749471066">
    <w:abstractNumId w:val="3"/>
  </w:num>
  <w:num w:numId="6" w16cid:durableId="1791703209">
    <w:abstractNumId w:val="6"/>
  </w:num>
  <w:num w:numId="7" w16cid:durableId="141508263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defaultTableStyle w:val="ListTable6Colorful"/>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DFA"/>
    <w:rsid w:val="000015BD"/>
    <w:rsid w:val="00003FA2"/>
    <w:rsid w:val="00007C09"/>
    <w:rsid w:val="00010E6B"/>
    <w:rsid w:val="0001236E"/>
    <w:rsid w:val="00012593"/>
    <w:rsid w:val="00014656"/>
    <w:rsid w:val="00014981"/>
    <w:rsid w:val="00014B3B"/>
    <w:rsid w:val="00014BD3"/>
    <w:rsid w:val="00016F25"/>
    <w:rsid w:val="000203C7"/>
    <w:rsid w:val="00022072"/>
    <w:rsid w:val="00022787"/>
    <w:rsid w:val="000228AA"/>
    <w:rsid w:val="00022C3E"/>
    <w:rsid w:val="00023B0E"/>
    <w:rsid w:val="00025D6B"/>
    <w:rsid w:val="000332CE"/>
    <w:rsid w:val="00033ED9"/>
    <w:rsid w:val="000359C0"/>
    <w:rsid w:val="00035EA0"/>
    <w:rsid w:val="00037E9B"/>
    <w:rsid w:val="000434F6"/>
    <w:rsid w:val="00043C78"/>
    <w:rsid w:val="0004493E"/>
    <w:rsid w:val="0004719E"/>
    <w:rsid w:val="00047240"/>
    <w:rsid w:val="00047391"/>
    <w:rsid w:val="0005332D"/>
    <w:rsid w:val="00054BBA"/>
    <w:rsid w:val="000635D9"/>
    <w:rsid w:val="00070A99"/>
    <w:rsid w:val="00072919"/>
    <w:rsid w:val="00074221"/>
    <w:rsid w:val="00075ABE"/>
    <w:rsid w:val="00075D1C"/>
    <w:rsid w:val="00076FC9"/>
    <w:rsid w:val="000818DF"/>
    <w:rsid w:val="00084540"/>
    <w:rsid w:val="00084E21"/>
    <w:rsid w:val="00085D64"/>
    <w:rsid w:val="000865AA"/>
    <w:rsid w:val="000876F2"/>
    <w:rsid w:val="00096376"/>
    <w:rsid w:val="00096FC6"/>
    <w:rsid w:val="0009724F"/>
    <w:rsid w:val="000A0818"/>
    <w:rsid w:val="000A12B3"/>
    <w:rsid w:val="000A5CFB"/>
    <w:rsid w:val="000A6259"/>
    <w:rsid w:val="000A6291"/>
    <w:rsid w:val="000A6CBD"/>
    <w:rsid w:val="000A6E35"/>
    <w:rsid w:val="000B0A3B"/>
    <w:rsid w:val="000B3636"/>
    <w:rsid w:val="000B52FD"/>
    <w:rsid w:val="000B55BF"/>
    <w:rsid w:val="000B5FCF"/>
    <w:rsid w:val="000B5FDC"/>
    <w:rsid w:val="000C1911"/>
    <w:rsid w:val="000C3428"/>
    <w:rsid w:val="000C4414"/>
    <w:rsid w:val="000C4AFA"/>
    <w:rsid w:val="000C564C"/>
    <w:rsid w:val="000D25BC"/>
    <w:rsid w:val="000D3C80"/>
    <w:rsid w:val="000D4041"/>
    <w:rsid w:val="000D6B94"/>
    <w:rsid w:val="000E0C32"/>
    <w:rsid w:val="000E2177"/>
    <w:rsid w:val="000E2F53"/>
    <w:rsid w:val="000E510C"/>
    <w:rsid w:val="000E5C0C"/>
    <w:rsid w:val="000E7AD2"/>
    <w:rsid w:val="000F0C23"/>
    <w:rsid w:val="000F1594"/>
    <w:rsid w:val="000F3C46"/>
    <w:rsid w:val="000F421D"/>
    <w:rsid w:val="000F44D4"/>
    <w:rsid w:val="000F5096"/>
    <w:rsid w:val="000F5ADC"/>
    <w:rsid w:val="000F6C23"/>
    <w:rsid w:val="000F7D4A"/>
    <w:rsid w:val="000F7FD5"/>
    <w:rsid w:val="00100029"/>
    <w:rsid w:val="00105791"/>
    <w:rsid w:val="00106C82"/>
    <w:rsid w:val="00110C4F"/>
    <w:rsid w:val="00111A45"/>
    <w:rsid w:val="0011678A"/>
    <w:rsid w:val="0011721B"/>
    <w:rsid w:val="00117AE4"/>
    <w:rsid w:val="00117D58"/>
    <w:rsid w:val="001209CC"/>
    <w:rsid w:val="0012150F"/>
    <w:rsid w:val="00124B32"/>
    <w:rsid w:val="001256AB"/>
    <w:rsid w:val="0013395D"/>
    <w:rsid w:val="00134CD5"/>
    <w:rsid w:val="001403C4"/>
    <w:rsid w:val="001405F2"/>
    <w:rsid w:val="00141561"/>
    <w:rsid w:val="00142054"/>
    <w:rsid w:val="00142C0A"/>
    <w:rsid w:val="00144A6B"/>
    <w:rsid w:val="00150723"/>
    <w:rsid w:val="00150B6B"/>
    <w:rsid w:val="001510A0"/>
    <w:rsid w:val="0015276B"/>
    <w:rsid w:val="001568DD"/>
    <w:rsid w:val="00157367"/>
    <w:rsid w:val="00157A73"/>
    <w:rsid w:val="00157F2C"/>
    <w:rsid w:val="001618C0"/>
    <w:rsid w:val="00161EA1"/>
    <w:rsid w:val="0016255F"/>
    <w:rsid w:val="00166877"/>
    <w:rsid w:val="00166BDD"/>
    <w:rsid w:val="00171C10"/>
    <w:rsid w:val="00171E41"/>
    <w:rsid w:val="00172964"/>
    <w:rsid w:val="0017534A"/>
    <w:rsid w:val="00175353"/>
    <w:rsid w:val="00175471"/>
    <w:rsid w:val="00175563"/>
    <w:rsid w:val="00175980"/>
    <w:rsid w:val="00175FE8"/>
    <w:rsid w:val="00180F27"/>
    <w:rsid w:val="00182239"/>
    <w:rsid w:val="0018233B"/>
    <w:rsid w:val="0019095A"/>
    <w:rsid w:val="00192042"/>
    <w:rsid w:val="001923BE"/>
    <w:rsid w:val="00193964"/>
    <w:rsid w:val="00194892"/>
    <w:rsid w:val="001A0366"/>
    <w:rsid w:val="001A1857"/>
    <w:rsid w:val="001A2087"/>
    <w:rsid w:val="001A2201"/>
    <w:rsid w:val="001A4C08"/>
    <w:rsid w:val="001A4DDC"/>
    <w:rsid w:val="001A5F18"/>
    <w:rsid w:val="001A6498"/>
    <w:rsid w:val="001B01BF"/>
    <w:rsid w:val="001B1598"/>
    <w:rsid w:val="001B198B"/>
    <w:rsid w:val="001B44E7"/>
    <w:rsid w:val="001B6941"/>
    <w:rsid w:val="001C228D"/>
    <w:rsid w:val="001C29FC"/>
    <w:rsid w:val="001C4910"/>
    <w:rsid w:val="001C5FF7"/>
    <w:rsid w:val="001C7199"/>
    <w:rsid w:val="001C72BE"/>
    <w:rsid w:val="001C7A6E"/>
    <w:rsid w:val="001C7E22"/>
    <w:rsid w:val="001D0131"/>
    <w:rsid w:val="001D1BC5"/>
    <w:rsid w:val="001D2E5B"/>
    <w:rsid w:val="001D5344"/>
    <w:rsid w:val="001D5484"/>
    <w:rsid w:val="001D7395"/>
    <w:rsid w:val="001E21BF"/>
    <w:rsid w:val="001E5A22"/>
    <w:rsid w:val="001E66BD"/>
    <w:rsid w:val="001F0F7E"/>
    <w:rsid w:val="001F1145"/>
    <w:rsid w:val="001F2B2D"/>
    <w:rsid w:val="001F335A"/>
    <w:rsid w:val="001F3800"/>
    <w:rsid w:val="001F4BFF"/>
    <w:rsid w:val="001F75A5"/>
    <w:rsid w:val="001F774D"/>
    <w:rsid w:val="00200F4A"/>
    <w:rsid w:val="0020281F"/>
    <w:rsid w:val="00204E59"/>
    <w:rsid w:val="00207B65"/>
    <w:rsid w:val="0022209E"/>
    <w:rsid w:val="00222312"/>
    <w:rsid w:val="00222CC3"/>
    <w:rsid w:val="00222E28"/>
    <w:rsid w:val="002236D9"/>
    <w:rsid w:val="00224852"/>
    <w:rsid w:val="00224AF0"/>
    <w:rsid w:val="00225DC3"/>
    <w:rsid w:val="00226CEA"/>
    <w:rsid w:val="00232127"/>
    <w:rsid w:val="00233C30"/>
    <w:rsid w:val="00244131"/>
    <w:rsid w:val="00244EC1"/>
    <w:rsid w:val="00250657"/>
    <w:rsid w:val="00250C52"/>
    <w:rsid w:val="002529B7"/>
    <w:rsid w:val="00253EB5"/>
    <w:rsid w:val="00255087"/>
    <w:rsid w:val="00257272"/>
    <w:rsid w:val="002604F2"/>
    <w:rsid w:val="00262335"/>
    <w:rsid w:val="002635B7"/>
    <w:rsid w:val="00265C57"/>
    <w:rsid w:val="00265C7B"/>
    <w:rsid w:val="00265F0F"/>
    <w:rsid w:val="00271E04"/>
    <w:rsid w:val="00274B3A"/>
    <w:rsid w:val="00275317"/>
    <w:rsid w:val="00275E3C"/>
    <w:rsid w:val="00277688"/>
    <w:rsid w:val="00280BC6"/>
    <w:rsid w:val="00280DD8"/>
    <w:rsid w:val="00282C8D"/>
    <w:rsid w:val="002859E2"/>
    <w:rsid w:val="00285EE8"/>
    <w:rsid w:val="002869D5"/>
    <w:rsid w:val="00292B4F"/>
    <w:rsid w:val="00293EAD"/>
    <w:rsid w:val="00294458"/>
    <w:rsid w:val="002958B2"/>
    <w:rsid w:val="00296CC9"/>
    <w:rsid w:val="002A0D84"/>
    <w:rsid w:val="002A0E52"/>
    <w:rsid w:val="002A1ABB"/>
    <w:rsid w:val="002A22F6"/>
    <w:rsid w:val="002A3E59"/>
    <w:rsid w:val="002A7EAB"/>
    <w:rsid w:val="002B0B84"/>
    <w:rsid w:val="002B1FFE"/>
    <w:rsid w:val="002B4F0F"/>
    <w:rsid w:val="002B571A"/>
    <w:rsid w:val="002B5D8B"/>
    <w:rsid w:val="002C1E25"/>
    <w:rsid w:val="002C7FA0"/>
    <w:rsid w:val="002D0CD4"/>
    <w:rsid w:val="002D15C6"/>
    <w:rsid w:val="002D2B31"/>
    <w:rsid w:val="002D2CAA"/>
    <w:rsid w:val="002D2F1B"/>
    <w:rsid w:val="002D373C"/>
    <w:rsid w:val="002D4FAC"/>
    <w:rsid w:val="002D5813"/>
    <w:rsid w:val="002D5CCB"/>
    <w:rsid w:val="002D76AD"/>
    <w:rsid w:val="002E0389"/>
    <w:rsid w:val="002E2A73"/>
    <w:rsid w:val="002E2D6A"/>
    <w:rsid w:val="002E3905"/>
    <w:rsid w:val="002E4B60"/>
    <w:rsid w:val="002F05D5"/>
    <w:rsid w:val="002F136F"/>
    <w:rsid w:val="002F2C2A"/>
    <w:rsid w:val="002F4A6A"/>
    <w:rsid w:val="002F5211"/>
    <w:rsid w:val="002F7B3C"/>
    <w:rsid w:val="002F7BE7"/>
    <w:rsid w:val="0030261F"/>
    <w:rsid w:val="00302B2A"/>
    <w:rsid w:val="00302EC5"/>
    <w:rsid w:val="00303DA5"/>
    <w:rsid w:val="0030443D"/>
    <w:rsid w:val="003051E5"/>
    <w:rsid w:val="003064C4"/>
    <w:rsid w:val="003067A5"/>
    <w:rsid w:val="003076E8"/>
    <w:rsid w:val="00312ACD"/>
    <w:rsid w:val="00314AFB"/>
    <w:rsid w:val="00324FB2"/>
    <w:rsid w:val="00325AA0"/>
    <w:rsid w:val="00327B2A"/>
    <w:rsid w:val="0033010B"/>
    <w:rsid w:val="00332073"/>
    <w:rsid w:val="00335650"/>
    <w:rsid w:val="003407FF"/>
    <w:rsid w:val="00341D96"/>
    <w:rsid w:val="00345D3C"/>
    <w:rsid w:val="00346826"/>
    <w:rsid w:val="003504FC"/>
    <w:rsid w:val="003525C8"/>
    <w:rsid w:val="0035713E"/>
    <w:rsid w:val="00357975"/>
    <w:rsid w:val="00362F06"/>
    <w:rsid w:val="00364B96"/>
    <w:rsid w:val="00364FC6"/>
    <w:rsid w:val="00371B60"/>
    <w:rsid w:val="00371BB8"/>
    <w:rsid w:val="003724DA"/>
    <w:rsid w:val="00376020"/>
    <w:rsid w:val="00376D3A"/>
    <w:rsid w:val="00380D7F"/>
    <w:rsid w:val="00381581"/>
    <w:rsid w:val="00381C5B"/>
    <w:rsid w:val="00381F20"/>
    <w:rsid w:val="00382D6D"/>
    <w:rsid w:val="003836D5"/>
    <w:rsid w:val="00385C2C"/>
    <w:rsid w:val="00386CE0"/>
    <w:rsid w:val="003873BF"/>
    <w:rsid w:val="00387E0D"/>
    <w:rsid w:val="0039285C"/>
    <w:rsid w:val="003949A7"/>
    <w:rsid w:val="0039647D"/>
    <w:rsid w:val="003976DF"/>
    <w:rsid w:val="003A040E"/>
    <w:rsid w:val="003A1D17"/>
    <w:rsid w:val="003A6DD6"/>
    <w:rsid w:val="003B182F"/>
    <w:rsid w:val="003B1A9D"/>
    <w:rsid w:val="003B5A17"/>
    <w:rsid w:val="003C008D"/>
    <w:rsid w:val="003C0FAA"/>
    <w:rsid w:val="003C3902"/>
    <w:rsid w:val="003C417E"/>
    <w:rsid w:val="003C5C39"/>
    <w:rsid w:val="003C7CAB"/>
    <w:rsid w:val="003D0595"/>
    <w:rsid w:val="003D2206"/>
    <w:rsid w:val="003D2ABD"/>
    <w:rsid w:val="003D61BE"/>
    <w:rsid w:val="003D7DF1"/>
    <w:rsid w:val="003E08B8"/>
    <w:rsid w:val="003E0E44"/>
    <w:rsid w:val="003E1400"/>
    <w:rsid w:val="003E4897"/>
    <w:rsid w:val="003E4D68"/>
    <w:rsid w:val="003E78BC"/>
    <w:rsid w:val="003E7CFE"/>
    <w:rsid w:val="003F0537"/>
    <w:rsid w:val="003F06B8"/>
    <w:rsid w:val="003F0856"/>
    <w:rsid w:val="003F17C5"/>
    <w:rsid w:val="003F3512"/>
    <w:rsid w:val="003F468C"/>
    <w:rsid w:val="003F51B4"/>
    <w:rsid w:val="003F5CAB"/>
    <w:rsid w:val="00400E6C"/>
    <w:rsid w:val="00400E85"/>
    <w:rsid w:val="0040239F"/>
    <w:rsid w:val="0040242E"/>
    <w:rsid w:val="004028C3"/>
    <w:rsid w:val="00402DD1"/>
    <w:rsid w:val="00403551"/>
    <w:rsid w:val="004041B0"/>
    <w:rsid w:val="004052E5"/>
    <w:rsid w:val="0040C270"/>
    <w:rsid w:val="00410DB1"/>
    <w:rsid w:val="00410F4B"/>
    <w:rsid w:val="004122E5"/>
    <w:rsid w:val="00414CFD"/>
    <w:rsid w:val="00420824"/>
    <w:rsid w:val="004219FE"/>
    <w:rsid w:val="00422FBE"/>
    <w:rsid w:val="00423380"/>
    <w:rsid w:val="004265E3"/>
    <w:rsid w:val="00430367"/>
    <w:rsid w:val="004313DF"/>
    <w:rsid w:val="00431DC1"/>
    <w:rsid w:val="00432433"/>
    <w:rsid w:val="00433EE4"/>
    <w:rsid w:val="004361F4"/>
    <w:rsid w:val="0043747C"/>
    <w:rsid w:val="00441B23"/>
    <w:rsid w:val="004422DF"/>
    <w:rsid w:val="00443813"/>
    <w:rsid w:val="00444177"/>
    <w:rsid w:val="0044453E"/>
    <w:rsid w:val="00445D9A"/>
    <w:rsid w:val="0045036F"/>
    <w:rsid w:val="00450380"/>
    <w:rsid w:val="00451DC1"/>
    <w:rsid w:val="004524FD"/>
    <w:rsid w:val="00452ED2"/>
    <w:rsid w:val="00454A3B"/>
    <w:rsid w:val="00456E69"/>
    <w:rsid w:val="00460348"/>
    <w:rsid w:val="0046196D"/>
    <w:rsid w:val="004621AE"/>
    <w:rsid w:val="004644CC"/>
    <w:rsid w:val="00470B52"/>
    <w:rsid w:val="0047251F"/>
    <w:rsid w:val="004730D2"/>
    <w:rsid w:val="00473557"/>
    <w:rsid w:val="004763E1"/>
    <w:rsid w:val="0048083C"/>
    <w:rsid w:val="0048366D"/>
    <w:rsid w:val="00484CE2"/>
    <w:rsid w:val="0048562E"/>
    <w:rsid w:val="00485E9C"/>
    <w:rsid w:val="0049494B"/>
    <w:rsid w:val="00495813"/>
    <w:rsid w:val="004960A8"/>
    <w:rsid w:val="0049625C"/>
    <w:rsid w:val="00496BA3"/>
    <w:rsid w:val="004A0B6F"/>
    <w:rsid w:val="004A11E7"/>
    <w:rsid w:val="004A27E8"/>
    <w:rsid w:val="004A2B84"/>
    <w:rsid w:val="004A2DEC"/>
    <w:rsid w:val="004A68BE"/>
    <w:rsid w:val="004A6DE3"/>
    <w:rsid w:val="004B21DE"/>
    <w:rsid w:val="004B77D9"/>
    <w:rsid w:val="004B7AFB"/>
    <w:rsid w:val="004C0FCA"/>
    <w:rsid w:val="004C10B3"/>
    <w:rsid w:val="004C7C7C"/>
    <w:rsid w:val="004D09DD"/>
    <w:rsid w:val="004D1BBA"/>
    <w:rsid w:val="004D35D4"/>
    <w:rsid w:val="004E0F98"/>
    <w:rsid w:val="004E5369"/>
    <w:rsid w:val="004F4A13"/>
    <w:rsid w:val="004F5D80"/>
    <w:rsid w:val="004F6160"/>
    <w:rsid w:val="004F61EA"/>
    <w:rsid w:val="004F66DB"/>
    <w:rsid w:val="004F67E2"/>
    <w:rsid w:val="004F77F8"/>
    <w:rsid w:val="004F7B0A"/>
    <w:rsid w:val="00501B74"/>
    <w:rsid w:val="005041C0"/>
    <w:rsid w:val="00504467"/>
    <w:rsid w:val="005054CE"/>
    <w:rsid w:val="0050595A"/>
    <w:rsid w:val="00512C4C"/>
    <w:rsid w:val="00513C0F"/>
    <w:rsid w:val="00513F01"/>
    <w:rsid w:val="005141DF"/>
    <w:rsid w:val="0051603D"/>
    <w:rsid w:val="00517BD5"/>
    <w:rsid w:val="00520B01"/>
    <w:rsid w:val="00522C00"/>
    <w:rsid w:val="00524FA2"/>
    <w:rsid w:val="00527C9A"/>
    <w:rsid w:val="00533BD6"/>
    <w:rsid w:val="005353A7"/>
    <w:rsid w:val="0053665C"/>
    <w:rsid w:val="00537FE7"/>
    <w:rsid w:val="005411F4"/>
    <w:rsid w:val="00541420"/>
    <w:rsid w:val="00545E59"/>
    <w:rsid w:val="00545EE8"/>
    <w:rsid w:val="0054668F"/>
    <w:rsid w:val="0054678B"/>
    <w:rsid w:val="0054726A"/>
    <w:rsid w:val="005502C3"/>
    <w:rsid w:val="0055053B"/>
    <w:rsid w:val="00550E52"/>
    <w:rsid w:val="00551DCD"/>
    <w:rsid w:val="00554360"/>
    <w:rsid w:val="005566C6"/>
    <w:rsid w:val="00560208"/>
    <w:rsid w:val="005622D4"/>
    <w:rsid w:val="00564851"/>
    <w:rsid w:val="005650CC"/>
    <w:rsid w:val="0056639D"/>
    <w:rsid w:val="00566C26"/>
    <w:rsid w:val="00575973"/>
    <w:rsid w:val="0057720B"/>
    <w:rsid w:val="00582510"/>
    <w:rsid w:val="00582D8E"/>
    <w:rsid w:val="005830F3"/>
    <w:rsid w:val="00583213"/>
    <w:rsid w:val="00585601"/>
    <w:rsid w:val="00586819"/>
    <w:rsid w:val="0058722A"/>
    <w:rsid w:val="00590FEA"/>
    <w:rsid w:val="0059112C"/>
    <w:rsid w:val="005938DE"/>
    <w:rsid w:val="005947E9"/>
    <w:rsid w:val="005977EC"/>
    <w:rsid w:val="00597A8D"/>
    <w:rsid w:val="005A5371"/>
    <w:rsid w:val="005A5707"/>
    <w:rsid w:val="005A6E22"/>
    <w:rsid w:val="005A705D"/>
    <w:rsid w:val="005A7F2C"/>
    <w:rsid w:val="005B0B63"/>
    <w:rsid w:val="005B127E"/>
    <w:rsid w:val="005B39E0"/>
    <w:rsid w:val="005C02AA"/>
    <w:rsid w:val="005C1FD2"/>
    <w:rsid w:val="005C7C5E"/>
    <w:rsid w:val="005D1DF8"/>
    <w:rsid w:val="005D2055"/>
    <w:rsid w:val="005D3292"/>
    <w:rsid w:val="005D389C"/>
    <w:rsid w:val="005D47AA"/>
    <w:rsid w:val="005D64D2"/>
    <w:rsid w:val="005D6B57"/>
    <w:rsid w:val="005D7032"/>
    <w:rsid w:val="005D7822"/>
    <w:rsid w:val="005D7987"/>
    <w:rsid w:val="005E2414"/>
    <w:rsid w:val="005E2DB8"/>
    <w:rsid w:val="005E39CF"/>
    <w:rsid w:val="005E4487"/>
    <w:rsid w:val="005F1BA5"/>
    <w:rsid w:val="005F2DF4"/>
    <w:rsid w:val="005F7BC1"/>
    <w:rsid w:val="00600936"/>
    <w:rsid w:val="00600CA7"/>
    <w:rsid w:val="006038C4"/>
    <w:rsid w:val="006047FC"/>
    <w:rsid w:val="006051E4"/>
    <w:rsid w:val="0060753C"/>
    <w:rsid w:val="0061415F"/>
    <w:rsid w:val="00614642"/>
    <w:rsid w:val="00614BFC"/>
    <w:rsid w:val="00614CAB"/>
    <w:rsid w:val="00616FE6"/>
    <w:rsid w:val="00617117"/>
    <w:rsid w:val="00620368"/>
    <w:rsid w:val="00620904"/>
    <w:rsid w:val="00620F01"/>
    <w:rsid w:val="006238D2"/>
    <w:rsid w:val="00626F89"/>
    <w:rsid w:val="0063030E"/>
    <w:rsid w:val="00631DD2"/>
    <w:rsid w:val="00632213"/>
    <w:rsid w:val="0063297C"/>
    <w:rsid w:val="00634DE7"/>
    <w:rsid w:val="006355AC"/>
    <w:rsid w:val="00635B34"/>
    <w:rsid w:val="006434E4"/>
    <w:rsid w:val="00643930"/>
    <w:rsid w:val="00644661"/>
    <w:rsid w:val="00644E86"/>
    <w:rsid w:val="0064682C"/>
    <w:rsid w:val="006474A4"/>
    <w:rsid w:val="0064765F"/>
    <w:rsid w:val="006512F9"/>
    <w:rsid w:val="00654E78"/>
    <w:rsid w:val="0065534C"/>
    <w:rsid w:val="006600D9"/>
    <w:rsid w:val="0066100B"/>
    <w:rsid w:val="006610A3"/>
    <w:rsid w:val="00661DC4"/>
    <w:rsid w:val="00662399"/>
    <w:rsid w:val="00665684"/>
    <w:rsid w:val="00665B94"/>
    <w:rsid w:val="00666FCB"/>
    <w:rsid w:val="00667131"/>
    <w:rsid w:val="00667D92"/>
    <w:rsid w:val="00670C7A"/>
    <w:rsid w:val="0067401F"/>
    <w:rsid w:val="00676814"/>
    <w:rsid w:val="00676C6C"/>
    <w:rsid w:val="00676FEC"/>
    <w:rsid w:val="006803D3"/>
    <w:rsid w:val="00680A53"/>
    <w:rsid w:val="00681724"/>
    <w:rsid w:val="00682184"/>
    <w:rsid w:val="00683AEB"/>
    <w:rsid w:val="00685D54"/>
    <w:rsid w:val="00685FEC"/>
    <w:rsid w:val="00687867"/>
    <w:rsid w:val="00692915"/>
    <w:rsid w:val="00693194"/>
    <w:rsid w:val="006940E1"/>
    <w:rsid w:val="006949A8"/>
    <w:rsid w:val="00694DCA"/>
    <w:rsid w:val="006962D2"/>
    <w:rsid w:val="00697715"/>
    <w:rsid w:val="00697C5D"/>
    <w:rsid w:val="006A328A"/>
    <w:rsid w:val="006A68B4"/>
    <w:rsid w:val="006B50FB"/>
    <w:rsid w:val="006B7A72"/>
    <w:rsid w:val="006C1209"/>
    <w:rsid w:val="006C12E8"/>
    <w:rsid w:val="006C6EB9"/>
    <w:rsid w:val="006C78DB"/>
    <w:rsid w:val="006D03B7"/>
    <w:rsid w:val="006D2A1B"/>
    <w:rsid w:val="006D345F"/>
    <w:rsid w:val="006D3B7E"/>
    <w:rsid w:val="006E0280"/>
    <w:rsid w:val="006E135E"/>
    <w:rsid w:val="006E2DC7"/>
    <w:rsid w:val="006E3E84"/>
    <w:rsid w:val="006E3F26"/>
    <w:rsid w:val="006E63D7"/>
    <w:rsid w:val="006E7169"/>
    <w:rsid w:val="006F0701"/>
    <w:rsid w:val="006F0D3E"/>
    <w:rsid w:val="006F1112"/>
    <w:rsid w:val="006F1BD7"/>
    <w:rsid w:val="006F288C"/>
    <w:rsid w:val="006F2C94"/>
    <w:rsid w:val="006F3984"/>
    <w:rsid w:val="006F3F8D"/>
    <w:rsid w:val="006F4ED7"/>
    <w:rsid w:val="0070105D"/>
    <w:rsid w:val="007015BB"/>
    <w:rsid w:val="0070314B"/>
    <w:rsid w:val="007040A1"/>
    <w:rsid w:val="007041AC"/>
    <w:rsid w:val="00707A23"/>
    <w:rsid w:val="00707DDA"/>
    <w:rsid w:val="00711BD0"/>
    <w:rsid w:val="00714C1F"/>
    <w:rsid w:val="00714E61"/>
    <w:rsid w:val="007160BD"/>
    <w:rsid w:val="007170E6"/>
    <w:rsid w:val="00717AF1"/>
    <w:rsid w:val="007210E9"/>
    <w:rsid w:val="00721142"/>
    <w:rsid w:val="0072308B"/>
    <w:rsid w:val="00726ED8"/>
    <w:rsid w:val="00727E2E"/>
    <w:rsid w:val="0073261D"/>
    <w:rsid w:val="007329B5"/>
    <w:rsid w:val="00732E66"/>
    <w:rsid w:val="00734B69"/>
    <w:rsid w:val="00736CD2"/>
    <w:rsid w:val="00737AB0"/>
    <w:rsid w:val="00740029"/>
    <w:rsid w:val="00741B5C"/>
    <w:rsid w:val="00744C62"/>
    <w:rsid w:val="00745AF0"/>
    <w:rsid w:val="00747EB3"/>
    <w:rsid w:val="00750A58"/>
    <w:rsid w:val="00754833"/>
    <w:rsid w:val="007604CA"/>
    <w:rsid w:val="00760548"/>
    <w:rsid w:val="007618B1"/>
    <w:rsid w:val="00761EFF"/>
    <w:rsid w:val="00765713"/>
    <w:rsid w:val="00765891"/>
    <w:rsid w:val="00767BCA"/>
    <w:rsid w:val="00772D17"/>
    <w:rsid w:val="00774045"/>
    <w:rsid w:val="007764D1"/>
    <w:rsid w:val="00781387"/>
    <w:rsid w:val="00783132"/>
    <w:rsid w:val="00783676"/>
    <w:rsid w:val="007836EA"/>
    <w:rsid w:val="00783AE6"/>
    <w:rsid w:val="007842B5"/>
    <w:rsid w:val="00785B2D"/>
    <w:rsid w:val="00791FF3"/>
    <w:rsid w:val="00794463"/>
    <w:rsid w:val="00794CDC"/>
    <w:rsid w:val="0079591B"/>
    <w:rsid w:val="00795A42"/>
    <w:rsid w:val="00795BE4"/>
    <w:rsid w:val="00795F9F"/>
    <w:rsid w:val="00795FAA"/>
    <w:rsid w:val="007968AA"/>
    <w:rsid w:val="00796F93"/>
    <w:rsid w:val="00797669"/>
    <w:rsid w:val="007A12DE"/>
    <w:rsid w:val="007A396B"/>
    <w:rsid w:val="007A591E"/>
    <w:rsid w:val="007A5E70"/>
    <w:rsid w:val="007A5EFF"/>
    <w:rsid w:val="007B0B18"/>
    <w:rsid w:val="007B0D92"/>
    <w:rsid w:val="007B2A0C"/>
    <w:rsid w:val="007B4D33"/>
    <w:rsid w:val="007B4EFC"/>
    <w:rsid w:val="007B5469"/>
    <w:rsid w:val="007B75DB"/>
    <w:rsid w:val="007C1858"/>
    <w:rsid w:val="007C47D1"/>
    <w:rsid w:val="007C4BD8"/>
    <w:rsid w:val="007C7F6A"/>
    <w:rsid w:val="007D414F"/>
    <w:rsid w:val="007D4C87"/>
    <w:rsid w:val="007D51F3"/>
    <w:rsid w:val="007D6648"/>
    <w:rsid w:val="007D76C5"/>
    <w:rsid w:val="007E01F9"/>
    <w:rsid w:val="007E3C94"/>
    <w:rsid w:val="007E4628"/>
    <w:rsid w:val="007E5688"/>
    <w:rsid w:val="007E7724"/>
    <w:rsid w:val="007F645B"/>
    <w:rsid w:val="007F6E6B"/>
    <w:rsid w:val="007F728E"/>
    <w:rsid w:val="007F75B1"/>
    <w:rsid w:val="007F7DCA"/>
    <w:rsid w:val="008019AC"/>
    <w:rsid w:val="00802C5D"/>
    <w:rsid w:val="008033A0"/>
    <w:rsid w:val="0080397E"/>
    <w:rsid w:val="00804142"/>
    <w:rsid w:val="0080666C"/>
    <w:rsid w:val="00806AC9"/>
    <w:rsid w:val="00807D32"/>
    <w:rsid w:val="008102A0"/>
    <w:rsid w:val="008107BB"/>
    <w:rsid w:val="008112C3"/>
    <w:rsid w:val="0081142B"/>
    <w:rsid w:val="00811B2E"/>
    <w:rsid w:val="00812B40"/>
    <w:rsid w:val="00813BFE"/>
    <w:rsid w:val="008145B4"/>
    <w:rsid w:val="00814932"/>
    <w:rsid w:val="00814B75"/>
    <w:rsid w:val="008165E3"/>
    <w:rsid w:val="00816D99"/>
    <w:rsid w:val="008205E7"/>
    <w:rsid w:val="00821A88"/>
    <w:rsid w:val="00821DE2"/>
    <w:rsid w:val="00823FC6"/>
    <w:rsid w:val="00824440"/>
    <w:rsid w:val="00824CF3"/>
    <w:rsid w:val="00824DFA"/>
    <w:rsid w:val="008319A3"/>
    <w:rsid w:val="0083253D"/>
    <w:rsid w:val="008360A4"/>
    <w:rsid w:val="00836AEE"/>
    <w:rsid w:val="0084287D"/>
    <w:rsid w:val="008449F1"/>
    <w:rsid w:val="0084541F"/>
    <w:rsid w:val="00845921"/>
    <w:rsid w:val="00851D2A"/>
    <w:rsid w:val="0085201E"/>
    <w:rsid w:val="00854BEE"/>
    <w:rsid w:val="0085792D"/>
    <w:rsid w:val="008628A6"/>
    <w:rsid w:val="00862EB0"/>
    <w:rsid w:val="0086498E"/>
    <w:rsid w:val="00865716"/>
    <w:rsid w:val="00866219"/>
    <w:rsid w:val="008673E3"/>
    <w:rsid w:val="00867F80"/>
    <w:rsid w:val="00874E2D"/>
    <w:rsid w:val="00876772"/>
    <w:rsid w:val="00876F2E"/>
    <w:rsid w:val="00882805"/>
    <w:rsid w:val="00882DFC"/>
    <w:rsid w:val="008831A1"/>
    <w:rsid w:val="00883DC8"/>
    <w:rsid w:val="00884DF7"/>
    <w:rsid w:val="0088524A"/>
    <w:rsid w:val="00887977"/>
    <w:rsid w:val="00890AD9"/>
    <w:rsid w:val="00890CEF"/>
    <w:rsid w:val="0089137B"/>
    <w:rsid w:val="00892E49"/>
    <w:rsid w:val="00893C9A"/>
    <w:rsid w:val="00893CD6"/>
    <w:rsid w:val="00894A34"/>
    <w:rsid w:val="00897A35"/>
    <w:rsid w:val="008A0481"/>
    <w:rsid w:val="008A2AA8"/>
    <w:rsid w:val="008A3124"/>
    <w:rsid w:val="008A3FBF"/>
    <w:rsid w:val="008A6E3F"/>
    <w:rsid w:val="008B69D3"/>
    <w:rsid w:val="008C03F7"/>
    <w:rsid w:val="008C1022"/>
    <w:rsid w:val="008C318B"/>
    <w:rsid w:val="008C3408"/>
    <w:rsid w:val="008C558C"/>
    <w:rsid w:val="008C7165"/>
    <w:rsid w:val="008D0392"/>
    <w:rsid w:val="008D1212"/>
    <w:rsid w:val="008D178A"/>
    <w:rsid w:val="008D4C7E"/>
    <w:rsid w:val="008D6E7C"/>
    <w:rsid w:val="008E2306"/>
    <w:rsid w:val="008E6587"/>
    <w:rsid w:val="008F4472"/>
    <w:rsid w:val="008F63C3"/>
    <w:rsid w:val="009006DA"/>
    <w:rsid w:val="00900781"/>
    <w:rsid w:val="00900B56"/>
    <w:rsid w:val="0090419C"/>
    <w:rsid w:val="00904918"/>
    <w:rsid w:val="00906096"/>
    <w:rsid w:val="00910E4C"/>
    <w:rsid w:val="009110F8"/>
    <w:rsid w:val="00913FF3"/>
    <w:rsid w:val="00921A9F"/>
    <w:rsid w:val="00924F81"/>
    <w:rsid w:val="00925974"/>
    <w:rsid w:val="00925B26"/>
    <w:rsid w:val="00931640"/>
    <w:rsid w:val="00932DD7"/>
    <w:rsid w:val="00933C68"/>
    <w:rsid w:val="00933E0A"/>
    <w:rsid w:val="0093431F"/>
    <w:rsid w:val="00934897"/>
    <w:rsid w:val="00934A6A"/>
    <w:rsid w:val="00935A6E"/>
    <w:rsid w:val="00936B8C"/>
    <w:rsid w:val="009406F6"/>
    <w:rsid w:val="009410B0"/>
    <w:rsid w:val="00941364"/>
    <w:rsid w:val="00941B0C"/>
    <w:rsid w:val="009426C2"/>
    <w:rsid w:val="009465C2"/>
    <w:rsid w:val="00946E7C"/>
    <w:rsid w:val="009474EA"/>
    <w:rsid w:val="009514F0"/>
    <w:rsid w:val="00951DA7"/>
    <w:rsid w:val="00951DCD"/>
    <w:rsid w:val="00951F6A"/>
    <w:rsid w:val="00951F83"/>
    <w:rsid w:val="00953E0E"/>
    <w:rsid w:val="009541D0"/>
    <w:rsid w:val="00954F5E"/>
    <w:rsid w:val="00956C6E"/>
    <w:rsid w:val="009603B7"/>
    <w:rsid w:val="00960721"/>
    <w:rsid w:val="0096440F"/>
    <w:rsid w:val="00965EF3"/>
    <w:rsid w:val="00966C53"/>
    <w:rsid w:val="00970D5E"/>
    <w:rsid w:val="00971132"/>
    <w:rsid w:val="00972DB4"/>
    <w:rsid w:val="009747DD"/>
    <w:rsid w:val="009757EE"/>
    <w:rsid w:val="00975EF5"/>
    <w:rsid w:val="00977DDC"/>
    <w:rsid w:val="00980924"/>
    <w:rsid w:val="00981A68"/>
    <w:rsid w:val="0098313F"/>
    <w:rsid w:val="00984053"/>
    <w:rsid w:val="00986708"/>
    <w:rsid w:val="00986FC3"/>
    <w:rsid w:val="00991602"/>
    <w:rsid w:val="00991717"/>
    <w:rsid w:val="00992C16"/>
    <w:rsid w:val="00995313"/>
    <w:rsid w:val="00995E06"/>
    <w:rsid w:val="009A0AFD"/>
    <w:rsid w:val="009A1667"/>
    <w:rsid w:val="009A3C29"/>
    <w:rsid w:val="009A650A"/>
    <w:rsid w:val="009B063C"/>
    <w:rsid w:val="009B1472"/>
    <w:rsid w:val="009B6584"/>
    <w:rsid w:val="009B712D"/>
    <w:rsid w:val="009C0AAE"/>
    <w:rsid w:val="009C3885"/>
    <w:rsid w:val="009C455E"/>
    <w:rsid w:val="009C7E3D"/>
    <w:rsid w:val="009D0A17"/>
    <w:rsid w:val="009D0E9A"/>
    <w:rsid w:val="009D1006"/>
    <w:rsid w:val="009D3332"/>
    <w:rsid w:val="009D7F1A"/>
    <w:rsid w:val="009E00B9"/>
    <w:rsid w:val="009E02F6"/>
    <w:rsid w:val="009E24FD"/>
    <w:rsid w:val="009E296F"/>
    <w:rsid w:val="009E2E34"/>
    <w:rsid w:val="009E43A6"/>
    <w:rsid w:val="009F01EA"/>
    <w:rsid w:val="009F0F1F"/>
    <w:rsid w:val="009F2138"/>
    <w:rsid w:val="009F21CA"/>
    <w:rsid w:val="009F23F7"/>
    <w:rsid w:val="009F26B6"/>
    <w:rsid w:val="009F62B8"/>
    <w:rsid w:val="009F79CA"/>
    <w:rsid w:val="00A00445"/>
    <w:rsid w:val="00A0055C"/>
    <w:rsid w:val="00A049CD"/>
    <w:rsid w:val="00A07318"/>
    <w:rsid w:val="00A16B8B"/>
    <w:rsid w:val="00A17FD0"/>
    <w:rsid w:val="00A22381"/>
    <w:rsid w:val="00A2442D"/>
    <w:rsid w:val="00A26515"/>
    <w:rsid w:val="00A26F5F"/>
    <w:rsid w:val="00A31BD5"/>
    <w:rsid w:val="00A32324"/>
    <w:rsid w:val="00A33817"/>
    <w:rsid w:val="00A35CCF"/>
    <w:rsid w:val="00A3798A"/>
    <w:rsid w:val="00A4215D"/>
    <w:rsid w:val="00A42508"/>
    <w:rsid w:val="00A432CC"/>
    <w:rsid w:val="00A4456F"/>
    <w:rsid w:val="00A4518C"/>
    <w:rsid w:val="00A456EC"/>
    <w:rsid w:val="00A45A11"/>
    <w:rsid w:val="00A47A79"/>
    <w:rsid w:val="00A52485"/>
    <w:rsid w:val="00A57DB9"/>
    <w:rsid w:val="00A6000E"/>
    <w:rsid w:val="00A605A8"/>
    <w:rsid w:val="00A60C28"/>
    <w:rsid w:val="00A620EE"/>
    <w:rsid w:val="00A64F0E"/>
    <w:rsid w:val="00A655D1"/>
    <w:rsid w:val="00A65719"/>
    <w:rsid w:val="00A6578F"/>
    <w:rsid w:val="00A71BAE"/>
    <w:rsid w:val="00A73DDF"/>
    <w:rsid w:val="00A7430B"/>
    <w:rsid w:val="00A761E1"/>
    <w:rsid w:val="00A77025"/>
    <w:rsid w:val="00A8021F"/>
    <w:rsid w:val="00A80B54"/>
    <w:rsid w:val="00A81C41"/>
    <w:rsid w:val="00A82BD1"/>
    <w:rsid w:val="00A831BE"/>
    <w:rsid w:val="00A84841"/>
    <w:rsid w:val="00A86A3F"/>
    <w:rsid w:val="00A90167"/>
    <w:rsid w:val="00A90EF7"/>
    <w:rsid w:val="00A91A05"/>
    <w:rsid w:val="00A94612"/>
    <w:rsid w:val="00A94B01"/>
    <w:rsid w:val="00A97F02"/>
    <w:rsid w:val="00AA0F3E"/>
    <w:rsid w:val="00AA17F3"/>
    <w:rsid w:val="00AA248C"/>
    <w:rsid w:val="00AA2F7F"/>
    <w:rsid w:val="00AA3295"/>
    <w:rsid w:val="00AB6F0D"/>
    <w:rsid w:val="00AB71F6"/>
    <w:rsid w:val="00AB7517"/>
    <w:rsid w:val="00AC11FC"/>
    <w:rsid w:val="00AC57E0"/>
    <w:rsid w:val="00AC6EB1"/>
    <w:rsid w:val="00AD0634"/>
    <w:rsid w:val="00AD37A6"/>
    <w:rsid w:val="00AD4322"/>
    <w:rsid w:val="00AD488B"/>
    <w:rsid w:val="00AD7026"/>
    <w:rsid w:val="00AE122D"/>
    <w:rsid w:val="00AE19E6"/>
    <w:rsid w:val="00AE4380"/>
    <w:rsid w:val="00AE4679"/>
    <w:rsid w:val="00AE4B73"/>
    <w:rsid w:val="00AF0AE0"/>
    <w:rsid w:val="00AF1A4D"/>
    <w:rsid w:val="00AF2725"/>
    <w:rsid w:val="00AF2DA0"/>
    <w:rsid w:val="00AF3F60"/>
    <w:rsid w:val="00AF49F2"/>
    <w:rsid w:val="00AF4DB1"/>
    <w:rsid w:val="00AF6250"/>
    <w:rsid w:val="00AF77C2"/>
    <w:rsid w:val="00B00BF3"/>
    <w:rsid w:val="00B0381A"/>
    <w:rsid w:val="00B03C02"/>
    <w:rsid w:val="00B04682"/>
    <w:rsid w:val="00B05633"/>
    <w:rsid w:val="00B059A2"/>
    <w:rsid w:val="00B06222"/>
    <w:rsid w:val="00B11F07"/>
    <w:rsid w:val="00B133D6"/>
    <w:rsid w:val="00B158B6"/>
    <w:rsid w:val="00B16ECB"/>
    <w:rsid w:val="00B20917"/>
    <w:rsid w:val="00B24F89"/>
    <w:rsid w:val="00B302A7"/>
    <w:rsid w:val="00B323D0"/>
    <w:rsid w:val="00B32AE8"/>
    <w:rsid w:val="00B32DF6"/>
    <w:rsid w:val="00B36C9E"/>
    <w:rsid w:val="00B37E65"/>
    <w:rsid w:val="00B4030D"/>
    <w:rsid w:val="00B4039E"/>
    <w:rsid w:val="00B4185A"/>
    <w:rsid w:val="00B43BF2"/>
    <w:rsid w:val="00B4439F"/>
    <w:rsid w:val="00B4465F"/>
    <w:rsid w:val="00B44D00"/>
    <w:rsid w:val="00B46136"/>
    <w:rsid w:val="00B462EF"/>
    <w:rsid w:val="00B463D8"/>
    <w:rsid w:val="00B47612"/>
    <w:rsid w:val="00B502D0"/>
    <w:rsid w:val="00B50A42"/>
    <w:rsid w:val="00B51371"/>
    <w:rsid w:val="00B529FD"/>
    <w:rsid w:val="00B53D42"/>
    <w:rsid w:val="00B54804"/>
    <w:rsid w:val="00B5486D"/>
    <w:rsid w:val="00B56AD4"/>
    <w:rsid w:val="00B57892"/>
    <w:rsid w:val="00B636F6"/>
    <w:rsid w:val="00B64C09"/>
    <w:rsid w:val="00B742B4"/>
    <w:rsid w:val="00B804EC"/>
    <w:rsid w:val="00B826ED"/>
    <w:rsid w:val="00B83688"/>
    <w:rsid w:val="00B84C8D"/>
    <w:rsid w:val="00B8639C"/>
    <w:rsid w:val="00B86B38"/>
    <w:rsid w:val="00B90BC0"/>
    <w:rsid w:val="00B91DEA"/>
    <w:rsid w:val="00B92CB5"/>
    <w:rsid w:val="00B94180"/>
    <w:rsid w:val="00B974F6"/>
    <w:rsid w:val="00BA07D5"/>
    <w:rsid w:val="00BA238B"/>
    <w:rsid w:val="00BA3214"/>
    <w:rsid w:val="00BB1BBC"/>
    <w:rsid w:val="00BB255A"/>
    <w:rsid w:val="00BB25ED"/>
    <w:rsid w:val="00BB4E78"/>
    <w:rsid w:val="00BB77A6"/>
    <w:rsid w:val="00BB7D66"/>
    <w:rsid w:val="00BC053F"/>
    <w:rsid w:val="00BC140C"/>
    <w:rsid w:val="00BC175E"/>
    <w:rsid w:val="00BC3DE8"/>
    <w:rsid w:val="00BC40C7"/>
    <w:rsid w:val="00BC575E"/>
    <w:rsid w:val="00BD180E"/>
    <w:rsid w:val="00BD250E"/>
    <w:rsid w:val="00BD3425"/>
    <w:rsid w:val="00BD3F46"/>
    <w:rsid w:val="00BD6870"/>
    <w:rsid w:val="00BE1795"/>
    <w:rsid w:val="00BE2D78"/>
    <w:rsid w:val="00BE7367"/>
    <w:rsid w:val="00BF0468"/>
    <w:rsid w:val="00C00B0C"/>
    <w:rsid w:val="00C01D7D"/>
    <w:rsid w:val="00C02676"/>
    <w:rsid w:val="00C04734"/>
    <w:rsid w:val="00C06463"/>
    <w:rsid w:val="00C10E95"/>
    <w:rsid w:val="00C1605B"/>
    <w:rsid w:val="00C169E7"/>
    <w:rsid w:val="00C17E80"/>
    <w:rsid w:val="00C215F3"/>
    <w:rsid w:val="00C22361"/>
    <w:rsid w:val="00C225B1"/>
    <w:rsid w:val="00C22AC3"/>
    <w:rsid w:val="00C23667"/>
    <w:rsid w:val="00C23D11"/>
    <w:rsid w:val="00C2560C"/>
    <w:rsid w:val="00C27554"/>
    <w:rsid w:val="00C3095C"/>
    <w:rsid w:val="00C32535"/>
    <w:rsid w:val="00C32C69"/>
    <w:rsid w:val="00C32F2C"/>
    <w:rsid w:val="00C35624"/>
    <w:rsid w:val="00C35D5E"/>
    <w:rsid w:val="00C36882"/>
    <w:rsid w:val="00C37645"/>
    <w:rsid w:val="00C438CC"/>
    <w:rsid w:val="00C43C63"/>
    <w:rsid w:val="00C46233"/>
    <w:rsid w:val="00C4663F"/>
    <w:rsid w:val="00C47D10"/>
    <w:rsid w:val="00C51717"/>
    <w:rsid w:val="00C54DA7"/>
    <w:rsid w:val="00C56D00"/>
    <w:rsid w:val="00C601A9"/>
    <w:rsid w:val="00C60CC5"/>
    <w:rsid w:val="00C614AE"/>
    <w:rsid w:val="00C62118"/>
    <w:rsid w:val="00C634B3"/>
    <w:rsid w:val="00C65912"/>
    <w:rsid w:val="00C704B5"/>
    <w:rsid w:val="00C71594"/>
    <w:rsid w:val="00C724A4"/>
    <w:rsid w:val="00C72992"/>
    <w:rsid w:val="00C76E67"/>
    <w:rsid w:val="00C82D98"/>
    <w:rsid w:val="00C85206"/>
    <w:rsid w:val="00C91274"/>
    <w:rsid w:val="00C9134C"/>
    <w:rsid w:val="00C93C91"/>
    <w:rsid w:val="00C93CC3"/>
    <w:rsid w:val="00C945FA"/>
    <w:rsid w:val="00C95737"/>
    <w:rsid w:val="00C960FA"/>
    <w:rsid w:val="00C966CF"/>
    <w:rsid w:val="00CA0411"/>
    <w:rsid w:val="00CA139D"/>
    <w:rsid w:val="00CA15D6"/>
    <w:rsid w:val="00CA3A53"/>
    <w:rsid w:val="00CA77D6"/>
    <w:rsid w:val="00CB226B"/>
    <w:rsid w:val="00CB2CE9"/>
    <w:rsid w:val="00CB4893"/>
    <w:rsid w:val="00CB625F"/>
    <w:rsid w:val="00CB7053"/>
    <w:rsid w:val="00CB758C"/>
    <w:rsid w:val="00CC3AF6"/>
    <w:rsid w:val="00CC67D9"/>
    <w:rsid w:val="00CC7F55"/>
    <w:rsid w:val="00CD0E9F"/>
    <w:rsid w:val="00CD2BD3"/>
    <w:rsid w:val="00CD433F"/>
    <w:rsid w:val="00CD63FA"/>
    <w:rsid w:val="00CD6DB5"/>
    <w:rsid w:val="00CD7D2B"/>
    <w:rsid w:val="00CD7F83"/>
    <w:rsid w:val="00CE19EA"/>
    <w:rsid w:val="00CE3011"/>
    <w:rsid w:val="00CE5592"/>
    <w:rsid w:val="00CE6C59"/>
    <w:rsid w:val="00CE7774"/>
    <w:rsid w:val="00CE779E"/>
    <w:rsid w:val="00CF0183"/>
    <w:rsid w:val="00CF03DB"/>
    <w:rsid w:val="00CF0691"/>
    <w:rsid w:val="00CF091B"/>
    <w:rsid w:val="00CF13B1"/>
    <w:rsid w:val="00CF1533"/>
    <w:rsid w:val="00CF179E"/>
    <w:rsid w:val="00CF1F50"/>
    <w:rsid w:val="00D00D32"/>
    <w:rsid w:val="00D02B21"/>
    <w:rsid w:val="00D049FF"/>
    <w:rsid w:val="00D04BD8"/>
    <w:rsid w:val="00D04D40"/>
    <w:rsid w:val="00D0577E"/>
    <w:rsid w:val="00D1034A"/>
    <w:rsid w:val="00D12BE5"/>
    <w:rsid w:val="00D13044"/>
    <w:rsid w:val="00D1341F"/>
    <w:rsid w:val="00D13637"/>
    <w:rsid w:val="00D145B9"/>
    <w:rsid w:val="00D154DE"/>
    <w:rsid w:val="00D20E47"/>
    <w:rsid w:val="00D21362"/>
    <w:rsid w:val="00D25E92"/>
    <w:rsid w:val="00D261B7"/>
    <w:rsid w:val="00D27C89"/>
    <w:rsid w:val="00D31A85"/>
    <w:rsid w:val="00D33272"/>
    <w:rsid w:val="00D33F8B"/>
    <w:rsid w:val="00D34862"/>
    <w:rsid w:val="00D41A32"/>
    <w:rsid w:val="00D44A87"/>
    <w:rsid w:val="00D45CC4"/>
    <w:rsid w:val="00D50628"/>
    <w:rsid w:val="00D5165B"/>
    <w:rsid w:val="00D51FFF"/>
    <w:rsid w:val="00D52D64"/>
    <w:rsid w:val="00D5576A"/>
    <w:rsid w:val="00D56224"/>
    <w:rsid w:val="00D5780B"/>
    <w:rsid w:val="00D612B5"/>
    <w:rsid w:val="00D6143A"/>
    <w:rsid w:val="00D629FD"/>
    <w:rsid w:val="00D632F9"/>
    <w:rsid w:val="00D6410F"/>
    <w:rsid w:val="00D65603"/>
    <w:rsid w:val="00D671EE"/>
    <w:rsid w:val="00D674A9"/>
    <w:rsid w:val="00D70672"/>
    <w:rsid w:val="00D7484A"/>
    <w:rsid w:val="00D75339"/>
    <w:rsid w:val="00D75806"/>
    <w:rsid w:val="00D80F78"/>
    <w:rsid w:val="00D81E11"/>
    <w:rsid w:val="00D84A74"/>
    <w:rsid w:val="00D900EC"/>
    <w:rsid w:val="00D927FC"/>
    <w:rsid w:val="00D935E9"/>
    <w:rsid w:val="00D94479"/>
    <w:rsid w:val="00D95968"/>
    <w:rsid w:val="00DA056D"/>
    <w:rsid w:val="00DA06A8"/>
    <w:rsid w:val="00DA3A14"/>
    <w:rsid w:val="00DA4FBF"/>
    <w:rsid w:val="00DB2291"/>
    <w:rsid w:val="00DB4325"/>
    <w:rsid w:val="00DB7F69"/>
    <w:rsid w:val="00DC1362"/>
    <w:rsid w:val="00DC29AA"/>
    <w:rsid w:val="00DC2CA1"/>
    <w:rsid w:val="00DC5108"/>
    <w:rsid w:val="00DC56EC"/>
    <w:rsid w:val="00DC59B8"/>
    <w:rsid w:val="00DC7F6C"/>
    <w:rsid w:val="00DD086C"/>
    <w:rsid w:val="00DD1AAD"/>
    <w:rsid w:val="00DD1D11"/>
    <w:rsid w:val="00DD2E06"/>
    <w:rsid w:val="00DD580A"/>
    <w:rsid w:val="00DD65C2"/>
    <w:rsid w:val="00DD6673"/>
    <w:rsid w:val="00DD6D36"/>
    <w:rsid w:val="00DF1248"/>
    <w:rsid w:val="00DF2524"/>
    <w:rsid w:val="00DF26C7"/>
    <w:rsid w:val="00DF6483"/>
    <w:rsid w:val="00E0198A"/>
    <w:rsid w:val="00E045A2"/>
    <w:rsid w:val="00E0490F"/>
    <w:rsid w:val="00E06CAF"/>
    <w:rsid w:val="00E0720E"/>
    <w:rsid w:val="00E11945"/>
    <w:rsid w:val="00E11A7E"/>
    <w:rsid w:val="00E12176"/>
    <w:rsid w:val="00E15092"/>
    <w:rsid w:val="00E15815"/>
    <w:rsid w:val="00E20F4A"/>
    <w:rsid w:val="00E21BAC"/>
    <w:rsid w:val="00E21FFC"/>
    <w:rsid w:val="00E22A4F"/>
    <w:rsid w:val="00E23C77"/>
    <w:rsid w:val="00E24376"/>
    <w:rsid w:val="00E255E9"/>
    <w:rsid w:val="00E31D02"/>
    <w:rsid w:val="00E3250E"/>
    <w:rsid w:val="00E32A38"/>
    <w:rsid w:val="00E40DC1"/>
    <w:rsid w:val="00E40FC3"/>
    <w:rsid w:val="00E42CFD"/>
    <w:rsid w:val="00E46EE7"/>
    <w:rsid w:val="00E47E43"/>
    <w:rsid w:val="00E51A7C"/>
    <w:rsid w:val="00E52A1C"/>
    <w:rsid w:val="00E53BEF"/>
    <w:rsid w:val="00E54C39"/>
    <w:rsid w:val="00E600E5"/>
    <w:rsid w:val="00E62783"/>
    <w:rsid w:val="00E6335D"/>
    <w:rsid w:val="00E64814"/>
    <w:rsid w:val="00E66BDB"/>
    <w:rsid w:val="00E66EA3"/>
    <w:rsid w:val="00E6717F"/>
    <w:rsid w:val="00E718E5"/>
    <w:rsid w:val="00E72E40"/>
    <w:rsid w:val="00E73251"/>
    <w:rsid w:val="00E747D2"/>
    <w:rsid w:val="00E75839"/>
    <w:rsid w:val="00E80A18"/>
    <w:rsid w:val="00E81F0D"/>
    <w:rsid w:val="00E82C29"/>
    <w:rsid w:val="00E84BD5"/>
    <w:rsid w:val="00E872EB"/>
    <w:rsid w:val="00E87428"/>
    <w:rsid w:val="00E9284E"/>
    <w:rsid w:val="00E92968"/>
    <w:rsid w:val="00E93530"/>
    <w:rsid w:val="00E93E4B"/>
    <w:rsid w:val="00E942CF"/>
    <w:rsid w:val="00E94ECE"/>
    <w:rsid w:val="00E9508D"/>
    <w:rsid w:val="00E955FA"/>
    <w:rsid w:val="00E968FA"/>
    <w:rsid w:val="00E974E9"/>
    <w:rsid w:val="00EA0FF7"/>
    <w:rsid w:val="00EA2102"/>
    <w:rsid w:val="00EA268B"/>
    <w:rsid w:val="00EA46C6"/>
    <w:rsid w:val="00EA5CB8"/>
    <w:rsid w:val="00EA65D6"/>
    <w:rsid w:val="00EA6C63"/>
    <w:rsid w:val="00EA7EDA"/>
    <w:rsid w:val="00EB1020"/>
    <w:rsid w:val="00EB135F"/>
    <w:rsid w:val="00EB19D3"/>
    <w:rsid w:val="00EB1BA3"/>
    <w:rsid w:val="00EB1BE3"/>
    <w:rsid w:val="00EB1FAE"/>
    <w:rsid w:val="00EB2180"/>
    <w:rsid w:val="00EB3B34"/>
    <w:rsid w:val="00EB5228"/>
    <w:rsid w:val="00EB550D"/>
    <w:rsid w:val="00EB6DF8"/>
    <w:rsid w:val="00EC0D12"/>
    <w:rsid w:val="00EC0E9E"/>
    <w:rsid w:val="00EC102F"/>
    <w:rsid w:val="00EC1BC5"/>
    <w:rsid w:val="00EC35D7"/>
    <w:rsid w:val="00EC5606"/>
    <w:rsid w:val="00ED40E5"/>
    <w:rsid w:val="00ED44B1"/>
    <w:rsid w:val="00ED47AC"/>
    <w:rsid w:val="00ED48CF"/>
    <w:rsid w:val="00EE2DB2"/>
    <w:rsid w:val="00EE53E1"/>
    <w:rsid w:val="00EE77A7"/>
    <w:rsid w:val="00EE7D99"/>
    <w:rsid w:val="00EF0A27"/>
    <w:rsid w:val="00EF0C27"/>
    <w:rsid w:val="00EF4008"/>
    <w:rsid w:val="00EF6878"/>
    <w:rsid w:val="00EF6960"/>
    <w:rsid w:val="00EF6B1C"/>
    <w:rsid w:val="00EF7C5E"/>
    <w:rsid w:val="00EF7EF2"/>
    <w:rsid w:val="00F0066D"/>
    <w:rsid w:val="00F00BF4"/>
    <w:rsid w:val="00F0140D"/>
    <w:rsid w:val="00F01BAD"/>
    <w:rsid w:val="00F023AB"/>
    <w:rsid w:val="00F03E5B"/>
    <w:rsid w:val="00F054B2"/>
    <w:rsid w:val="00F05F79"/>
    <w:rsid w:val="00F117AC"/>
    <w:rsid w:val="00F12C83"/>
    <w:rsid w:val="00F12D02"/>
    <w:rsid w:val="00F13E24"/>
    <w:rsid w:val="00F14DDB"/>
    <w:rsid w:val="00F154CE"/>
    <w:rsid w:val="00F173B4"/>
    <w:rsid w:val="00F2068B"/>
    <w:rsid w:val="00F2141E"/>
    <w:rsid w:val="00F21615"/>
    <w:rsid w:val="00F218F3"/>
    <w:rsid w:val="00F25138"/>
    <w:rsid w:val="00F258A1"/>
    <w:rsid w:val="00F2669E"/>
    <w:rsid w:val="00F2792F"/>
    <w:rsid w:val="00F30608"/>
    <w:rsid w:val="00F307C6"/>
    <w:rsid w:val="00F30CA7"/>
    <w:rsid w:val="00F31652"/>
    <w:rsid w:val="00F338EC"/>
    <w:rsid w:val="00F34011"/>
    <w:rsid w:val="00F34E16"/>
    <w:rsid w:val="00F36641"/>
    <w:rsid w:val="00F37744"/>
    <w:rsid w:val="00F4020A"/>
    <w:rsid w:val="00F40664"/>
    <w:rsid w:val="00F4157D"/>
    <w:rsid w:val="00F44BCC"/>
    <w:rsid w:val="00F452FD"/>
    <w:rsid w:val="00F46DB4"/>
    <w:rsid w:val="00F50668"/>
    <w:rsid w:val="00F50C41"/>
    <w:rsid w:val="00F52CA0"/>
    <w:rsid w:val="00F52D96"/>
    <w:rsid w:val="00F53980"/>
    <w:rsid w:val="00F542B8"/>
    <w:rsid w:val="00F55ECD"/>
    <w:rsid w:val="00F5745E"/>
    <w:rsid w:val="00F607DE"/>
    <w:rsid w:val="00F60E44"/>
    <w:rsid w:val="00F61D82"/>
    <w:rsid w:val="00F64BB3"/>
    <w:rsid w:val="00F65E70"/>
    <w:rsid w:val="00F707F4"/>
    <w:rsid w:val="00F71438"/>
    <w:rsid w:val="00F7193C"/>
    <w:rsid w:val="00F8050A"/>
    <w:rsid w:val="00F832C2"/>
    <w:rsid w:val="00F85ACF"/>
    <w:rsid w:val="00F87084"/>
    <w:rsid w:val="00F90287"/>
    <w:rsid w:val="00F92BE4"/>
    <w:rsid w:val="00F94C17"/>
    <w:rsid w:val="00F94CEC"/>
    <w:rsid w:val="00F96DE3"/>
    <w:rsid w:val="00F97F72"/>
    <w:rsid w:val="00FA1C11"/>
    <w:rsid w:val="00FA2302"/>
    <w:rsid w:val="00FA25E4"/>
    <w:rsid w:val="00FA2BAD"/>
    <w:rsid w:val="00FA3657"/>
    <w:rsid w:val="00FA40AD"/>
    <w:rsid w:val="00FA40C0"/>
    <w:rsid w:val="00FA5953"/>
    <w:rsid w:val="00FA6866"/>
    <w:rsid w:val="00FB1D04"/>
    <w:rsid w:val="00FB1F9D"/>
    <w:rsid w:val="00FB5066"/>
    <w:rsid w:val="00FB612E"/>
    <w:rsid w:val="00FB79E2"/>
    <w:rsid w:val="00FC2412"/>
    <w:rsid w:val="00FC3AFA"/>
    <w:rsid w:val="00FC447D"/>
    <w:rsid w:val="00FC4E35"/>
    <w:rsid w:val="00FC67D2"/>
    <w:rsid w:val="00FD1D54"/>
    <w:rsid w:val="00FD657F"/>
    <w:rsid w:val="00FE0065"/>
    <w:rsid w:val="00FE1B4C"/>
    <w:rsid w:val="00FE2E44"/>
    <w:rsid w:val="00FE7029"/>
    <w:rsid w:val="00FF0CE5"/>
    <w:rsid w:val="00FF1985"/>
    <w:rsid w:val="00FF29CA"/>
    <w:rsid w:val="00FF310F"/>
    <w:rsid w:val="00FF41FE"/>
    <w:rsid w:val="02696DB2"/>
    <w:rsid w:val="06D22C60"/>
    <w:rsid w:val="08838357"/>
    <w:rsid w:val="0A6E27DA"/>
    <w:rsid w:val="174B0811"/>
    <w:rsid w:val="1BB36126"/>
    <w:rsid w:val="1EAEF347"/>
    <w:rsid w:val="1FEAB264"/>
    <w:rsid w:val="205A2ADB"/>
    <w:rsid w:val="2A227C31"/>
    <w:rsid w:val="30599987"/>
    <w:rsid w:val="4113F6BA"/>
    <w:rsid w:val="4217731B"/>
    <w:rsid w:val="435B6837"/>
    <w:rsid w:val="492175A4"/>
    <w:rsid w:val="4AA30222"/>
    <w:rsid w:val="5038EDEF"/>
    <w:rsid w:val="5288059D"/>
    <w:rsid w:val="54D3B205"/>
    <w:rsid w:val="555523CE"/>
    <w:rsid w:val="559C2337"/>
    <w:rsid w:val="55D50C7D"/>
    <w:rsid w:val="57049C7F"/>
    <w:rsid w:val="59AA37D0"/>
    <w:rsid w:val="5FD11E73"/>
    <w:rsid w:val="68C4F8AB"/>
    <w:rsid w:val="6F6A5EBF"/>
    <w:rsid w:val="70CD3078"/>
    <w:rsid w:val="749081D7"/>
    <w:rsid w:val="76F4269C"/>
    <w:rsid w:val="7DF61716"/>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C7C05"/>
  <w15:docId w15:val="{3A8699A8-6F18-410A-B551-8B68A9B9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7FC"/>
    <w:pPr>
      <w:spacing w:line="240" w:lineRule="auto"/>
    </w:pPr>
    <w:rPr>
      <w:rFonts w:ascii="Arial" w:hAnsi="Arial"/>
      <w:sz w:val="20"/>
      <w:lang w:val="en-AU"/>
    </w:rPr>
  </w:style>
  <w:style w:type="paragraph" w:styleId="Heading1">
    <w:name w:val="heading 1"/>
    <w:basedOn w:val="Normal"/>
    <w:next w:val="Normal"/>
    <w:link w:val="Heading1Char"/>
    <w:uiPriority w:val="9"/>
    <w:qFormat/>
    <w:rsid w:val="00084540"/>
    <w:pPr>
      <w:keepNext/>
      <w:keepLines/>
      <w:spacing w:before="240" w:after="120"/>
      <w:outlineLvl w:val="0"/>
    </w:pPr>
    <w:rPr>
      <w:rFonts w:eastAsiaTheme="majorEastAsia" w:cstheme="majorBidi"/>
      <w:color w:val="00CCCC"/>
      <w:sz w:val="32"/>
      <w:szCs w:val="32"/>
    </w:rPr>
  </w:style>
  <w:style w:type="paragraph" w:styleId="Heading2">
    <w:name w:val="heading 2"/>
    <w:basedOn w:val="Normal"/>
    <w:next w:val="Normal"/>
    <w:link w:val="Heading2Char"/>
    <w:uiPriority w:val="9"/>
    <w:unhideWhenUsed/>
    <w:qFormat/>
    <w:rsid w:val="00084540"/>
    <w:pPr>
      <w:keepNext/>
      <w:keepLines/>
      <w:spacing w:before="120" w:after="120"/>
      <w:outlineLvl w:val="1"/>
    </w:pPr>
    <w:rPr>
      <w:rFonts w:eastAsiaTheme="majorEastAsia" w:cstheme="majorBidi"/>
      <w:color w:val="000033"/>
      <w:sz w:val="26"/>
      <w:szCs w:val="26"/>
    </w:rPr>
  </w:style>
  <w:style w:type="paragraph" w:styleId="Heading3">
    <w:name w:val="heading 3"/>
    <w:basedOn w:val="Normal"/>
    <w:next w:val="Normal"/>
    <w:link w:val="Heading3Char"/>
    <w:uiPriority w:val="9"/>
    <w:unhideWhenUsed/>
    <w:qFormat/>
    <w:rsid w:val="00084540"/>
    <w:pPr>
      <w:keepNext/>
      <w:keepLines/>
      <w:spacing w:before="120" w:after="120"/>
      <w:outlineLvl w:val="2"/>
    </w:pPr>
    <w:rPr>
      <w:rFonts w:asciiTheme="majorHAnsi" w:eastAsiaTheme="majorEastAsia" w:hAnsiTheme="majorHAnsi" w:cstheme="majorBidi"/>
      <w:color w:val="000033"/>
      <w:sz w:val="24"/>
      <w:szCs w:val="24"/>
    </w:rPr>
  </w:style>
  <w:style w:type="paragraph" w:styleId="Heading4">
    <w:name w:val="heading 4"/>
    <w:basedOn w:val="Normal"/>
    <w:next w:val="Normal"/>
    <w:link w:val="Heading4Char"/>
    <w:autoRedefine/>
    <w:uiPriority w:val="9"/>
    <w:unhideWhenUsed/>
    <w:qFormat/>
    <w:rsid w:val="0058722A"/>
    <w:pPr>
      <w:keepNext/>
      <w:keepLines/>
      <w:spacing w:before="240" w:after="120"/>
      <w:outlineLvl w:val="3"/>
    </w:pPr>
    <w:rPr>
      <w:rFonts w:asciiTheme="majorHAnsi" w:eastAsiaTheme="majorEastAsia" w:hAnsiTheme="majorHAnsi" w:cstheme="majorBidi"/>
      <w:b/>
      <w:iCs/>
      <w:color w:val="000033"/>
    </w:rPr>
  </w:style>
  <w:style w:type="paragraph" w:styleId="Heading5">
    <w:name w:val="heading 5"/>
    <w:basedOn w:val="Normal"/>
    <w:next w:val="Normal"/>
    <w:link w:val="Heading5Char"/>
    <w:uiPriority w:val="9"/>
    <w:unhideWhenUsed/>
    <w:qFormat/>
    <w:rsid w:val="00084540"/>
    <w:pPr>
      <w:keepNext/>
      <w:keepLines/>
      <w:spacing w:before="40" w:after="0"/>
      <w:outlineLvl w:val="4"/>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4DFA"/>
    <w:pPr>
      <w:tabs>
        <w:tab w:val="center" w:pos="4680"/>
        <w:tab w:val="right" w:pos="9360"/>
      </w:tabs>
      <w:spacing w:after="0"/>
    </w:pPr>
    <w:rPr>
      <w:lang w:val="en-US"/>
    </w:rPr>
  </w:style>
  <w:style w:type="character" w:customStyle="1" w:styleId="HeaderChar">
    <w:name w:val="Header Char"/>
    <w:basedOn w:val="DefaultParagraphFont"/>
    <w:link w:val="Header"/>
    <w:uiPriority w:val="99"/>
    <w:rsid w:val="00824DFA"/>
  </w:style>
  <w:style w:type="paragraph" w:styleId="Footer">
    <w:name w:val="footer"/>
    <w:basedOn w:val="Normal"/>
    <w:link w:val="FooterChar"/>
    <w:uiPriority w:val="99"/>
    <w:unhideWhenUsed/>
    <w:rsid w:val="00824DFA"/>
    <w:pPr>
      <w:tabs>
        <w:tab w:val="center" w:pos="4680"/>
        <w:tab w:val="right" w:pos="9360"/>
      </w:tabs>
      <w:spacing w:after="0"/>
    </w:pPr>
    <w:rPr>
      <w:lang w:val="en-US"/>
    </w:rPr>
  </w:style>
  <w:style w:type="character" w:customStyle="1" w:styleId="FooterChar">
    <w:name w:val="Footer Char"/>
    <w:basedOn w:val="DefaultParagraphFont"/>
    <w:link w:val="Footer"/>
    <w:uiPriority w:val="99"/>
    <w:rsid w:val="00824DFA"/>
  </w:style>
  <w:style w:type="paragraph" w:styleId="BalloonText">
    <w:name w:val="Balloon Text"/>
    <w:basedOn w:val="Normal"/>
    <w:link w:val="BalloonTextChar"/>
    <w:uiPriority w:val="99"/>
    <w:semiHidden/>
    <w:unhideWhenUsed/>
    <w:rsid w:val="00824DF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DFA"/>
    <w:rPr>
      <w:rFonts w:ascii="Tahoma" w:hAnsi="Tahoma" w:cs="Tahoma"/>
      <w:sz w:val="16"/>
      <w:szCs w:val="16"/>
    </w:rPr>
  </w:style>
  <w:style w:type="paragraph" w:customStyle="1" w:styleId="Author">
    <w:name w:val="Author"/>
    <w:rsid w:val="00A86A3F"/>
    <w:pPr>
      <w:spacing w:after="0" w:line="240" w:lineRule="auto"/>
    </w:pPr>
    <w:rPr>
      <w:rFonts w:ascii="Arial" w:eastAsia="MS Minngs" w:hAnsi="Arial" w:cs="Times New Roman"/>
      <w:sz w:val="16"/>
      <w:szCs w:val="20"/>
      <w:lang w:val="en-AU"/>
    </w:rPr>
  </w:style>
  <w:style w:type="paragraph" w:customStyle="1" w:styleId="BasicParagraph">
    <w:name w:val="[Basic Paragraph]"/>
    <w:basedOn w:val="Normal"/>
    <w:rsid w:val="00456E69"/>
    <w:pPr>
      <w:widowControl w:val="0"/>
      <w:autoSpaceDE w:val="0"/>
      <w:autoSpaceDN w:val="0"/>
      <w:adjustRightInd w:val="0"/>
      <w:spacing w:after="0" w:line="288" w:lineRule="auto"/>
      <w:textAlignment w:val="center"/>
    </w:pPr>
    <w:rPr>
      <w:rFonts w:ascii="MinionPro-Regular" w:eastAsia="SimSun" w:hAnsi="MinionPro-Regular" w:cs="MinionPro-Regular"/>
      <w:noProof/>
      <w:color w:val="000000"/>
      <w:sz w:val="24"/>
      <w:szCs w:val="24"/>
      <w:lang w:val="en-GB"/>
    </w:rPr>
  </w:style>
  <w:style w:type="character" w:styleId="Hyperlink">
    <w:name w:val="Hyperlink"/>
    <w:basedOn w:val="DefaultParagraphFont"/>
    <w:uiPriority w:val="99"/>
    <w:unhideWhenUsed/>
    <w:rsid w:val="000E0C32"/>
    <w:rPr>
      <w:color w:val="0070C0"/>
      <w:u w:val="single"/>
    </w:rPr>
  </w:style>
  <w:style w:type="character" w:styleId="UnresolvedMention">
    <w:name w:val="Unresolved Mention"/>
    <w:basedOn w:val="DefaultParagraphFont"/>
    <w:uiPriority w:val="99"/>
    <w:semiHidden/>
    <w:unhideWhenUsed/>
    <w:rsid w:val="009465C2"/>
    <w:rPr>
      <w:color w:val="605E5C"/>
      <w:shd w:val="clear" w:color="auto" w:fill="E1DFDD"/>
    </w:rPr>
  </w:style>
  <w:style w:type="paragraph" w:styleId="Title">
    <w:name w:val="Title"/>
    <w:aliases w:val="Role title"/>
    <w:basedOn w:val="Normal"/>
    <w:next w:val="Normal"/>
    <w:link w:val="TitleChar"/>
    <w:uiPriority w:val="10"/>
    <w:qFormat/>
    <w:rsid w:val="005B39E0"/>
    <w:pPr>
      <w:spacing w:after="240"/>
    </w:pPr>
    <w:rPr>
      <w:rFonts w:eastAsiaTheme="majorEastAsia" w:cstheme="majorBidi"/>
      <w:color w:val="000033" w:themeColor="accent6"/>
      <w:spacing w:val="-10"/>
      <w:kern w:val="28"/>
      <w:sz w:val="44"/>
      <w:szCs w:val="56"/>
    </w:rPr>
  </w:style>
  <w:style w:type="character" w:customStyle="1" w:styleId="TitleChar">
    <w:name w:val="Title Char"/>
    <w:aliases w:val="Role title Char"/>
    <w:basedOn w:val="DefaultParagraphFont"/>
    <w:link w:val="Title"/>
    <w:uiPriority w:val="10"/>
    <w:rsid w:val="005B39E0"/>
    <w:rPr>
      <w:rFonts w:ascii="Arial" w:eastAsiaTheme="majorEastAsia" w:hAnsi="Arial" w:cstheme="majorBidi"/>
      <w:color w:val="000033" w:themeColor="accent6"/>
      <w:spacing w:val="-10"/>
      <w:kern w:val="28"/>
      <w:sz w:val="44"/>
      <w:szCs w:val="56"/>
      <w:lang w:val="en-AU"/>
    </w:rPr>
  </w:style>
  <w:style w:type="paragraph" w:styleId="NoSpacing">
    <w:name w:val="No Spacing"/>
    <w:uiPriority w:val="1"/>
    <w:qFormat/>
    <w:rsid w:val="00084540"/>
    <w:pPr>
      <w:spacing w:after="0" w:line="240" w:lineRule="auto"/>
    </w:pPr>
    <w:rPr>
      <w:rFonts w:ascii="Arial" w:hAnsi="Arial"/>
      <w:sz w:val="20"/>
      <w:lang w:val="en-AU"/>
    </w:rPr>
  </w:style>
  <w:style w:type="character" w:customStyle="1" w:styleId="Heading1Char">
    <w:name w:val="Heading 1 Char"/>
    <w:basedOn w:val="DefaultParagraphFont"/>
    <w:link w:val="Heading1"/>
    <w:uiPriority w:val="9"/>
    <w:rsid w:val="00084540"/>
    <w:rPr>
      <w:rFonts w:ascii="Arial" w:eastAsiaTheme="majorEastAsia" w:hAnsi="Arial" w:cstheme="majorBidi"/>
      <w:color w:val="00CCCC"/>
      <w:sz w:val="32"/>
      <w:szCs w:val="32"/>
      <w:lang w:val="en-AU"/>
    </w:rPr>
  </w:style>
  <w:style w:type="character" w:customStyle="1" w:styleId="Heading2Char">
    <w:name w:val="Heading 2 Char"/>
    <w:basedOn w:val="DefaultParagraphFont"/>
    <w:link w:val="Heading2"/>
    <w:uiPriority w:val="9"/>
    <w:rsid w:val="00084540"/>
    <w:rPr>
      <w:rFonts w:ascii="Arial" w:eastAsiaTheme="majorEastAsia" w:hAnsi="Arial" w:cstheme="majorBidi"/>
      <w:color w:val="000033"/>
      <w:sz w:val="26"/>
      <w:szCs w:val="26"/>
      <w:lang w:val="en-AU"/>
    </w:rPr>
  </w:style>
  <w:style w:type="character" w:styleId="IntenseEmphasis">
    <w:name w:val="Intense Emphasis"/>
    <w:basedOn w:val="DefaultParagraphFont"/>
    <w:uiPriority w:val="21"/>
    <w:qFormat/>
    <w:rsid w:val="00084540"/>
    <w:rPr>
      <w:rFonts w:ascii="Arial" w:hAnsi="Arial"/>
      <w:i/>
      <w:iCs/>
      <w:color w:val="009898" w:themeColor="accent1" w:themeShade="BF"/>
    </w:rPr>
  </w:style>
  <w:style w:type="paragraph" w:styleId="ListParagraph">
    <w:name w:val="List Paragraph"/>
    <w:basedOn w:val="Normal"/>
    <w:link w:val="ListParagraphChar"/>
    <w:qFormat/>
    <w:rsid w:val="00925974"/>
    <w:pPr>
      <w:numPr>
        <w:numId w:val="2"/>
      </w:numPr>
      <w:contextualSpacing/>
    </w:pPr>
  </w:style>
  <w:style w:type="character" w:styleId="Strong">
    <w:name w:val="Strong"/>
    <w:basedOn w:val="DefaultParagraphFont"/>
    <w:uiPriority w:val="22"/>
    <w:qFormat/>
    <w:rsid w:val="00084540"/>
    <w:rPr>
      <w:b/>
      <w:bCs/>
    </w:rPr>
  </w:style>
  <w:style w:type="character" w:styleId="IntenseReference">
    <w:name w:val="Intense Reference"/>
    <w:basedOn w:val="DefaultParagraphFont"/>
    <w:uiPriority w:val="32"/>
    <w:qFormat/>
    <w:rsid w:val="00084540"/>
    <w:rPr>
      <w:b/>
      <w:bCs/>
      <w:smallCaps/>
      <w:color w:val="009898" w:themeColor="accent1" w:themeShade="BF"/>
      <w:spacing w:val="5"/>
    </w:rPr>
  </w:style>
  <w:style w:type="table" w:styleId="TableGrid">
    <w:name w:val="Table Grid"/>
    <w:basedOn w:val="TableNormal"/>
    <w:uiPriority w:val="59"/>
    <w:rsid w:val="0083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44E86"/>
    <w:pPr>
      <w:spacing w:after="0" w:line="240" w:lineRule="auto"/>
    </w:pPr>
    <w:tblPr>
      <w:tblStyleRowBandSize w:val="1"/>
      <w:tblStyleColBandSize w:val="1"/>
      <w:tblBorders>
        <w:top w:val="single" w:sz="4" w:space="0" w:color="0A0AFF" w:themeColor="accent5" w:themeTint="99"/>
        <w:left w:val="single" w:sz="4" w:space="0" w:color="0A0AFF" w:themeColor="accent5" w:themeTint="99"/>
        <w:bottom w:val="single" w:sz="4" w:space="0" w:color="0A0AFF" w:themeColor="accent5" w:themeTint="99"/>
        <w:right w:val="single" w:sz="4" w:space="0" w:color="0A0AFF" w:themeColor="accent5" w:themeTint="99"/>
        <w:insideH w:val="single" w:sz="4" w:space="0" w:color="0A0AFF" w:themeColor="accent5" w:themeTint="99"/>
        <w:insideV w:val="single" w:sz="4" w:space="0" w:color="0A0AFF" w:themeColor="accent5" w:themeTint="99"/>
      </w:tblBorders>
    </w:tblPr>
    <w:tblStylePr w:type="firstRow">
      <w:rPr>
        <w:b/>
        <w:bCs/>
        <w:color w:val="FFFFFF" w:themeColor="background1"/>
      </w:rPr>
      <w:tblPr/>
      <w:tcPr>
        <w:tcBorders>
          <w:top w:val="single" w:sz="4" w:space="0" w:color="000066" w:themeColor="accent5"/>
          <w:left w:val="single" w:sz="4" w:space="0" w:color="000066" w:themeColor="accent5"/>
          <w:bottom w:val="single" w:sz="4" w:space="0" w:color="000066" w:themeColor="accent5"/>
          <w:right w:val="single" w:sz="4" w:space="0" w:color="000066" w:themeColor="accent5"/>
          <w:insideH w:val="nil"/>
          <w:insideV w:val="nil"/>
        </w:tcBorders>
        <w:shd w:val="clear" w:color="auto" w:fill="000066" w:themeFill="accent5"/>
      </w:tcPr>
    </w:tblStylePr>
    <w:tblStylePr w:type="lastRow">
      <w:rPr>
        <w:b/>
        <w:bCs/>
      </w:rPr>
      <w:tblPr/>
      <w:tcPr>
        <w:tcBorders>
          <w:top w:val="double" w:sz="4" w:space="0" w:color="000066" w:themeColor="accent5"/>
        </w:tcBorders>
      </w:tcPr>
    </w:tblStylePr>
    <w:tblStylePr w:type="firstCol">
      <w:rPr>
        <w:b/>
        <w:bCs/>
      </w:rPr>
    </w:tblStylePr>
    <w:tblStylePr w:type="lastCol">
      <w:rPr>
        <w:b/>
        <w:bCs/>
      </w:rPr>
    </w:tblStylePr>
    <w:tblStylePr w:type="band1Vert">
      <w:tblPr/>
      <w:tcPr>
        <w:shd w:val="clear" w:color="auto" w:fill="ADADFF" w:themeFill="accent5" w:themeFillTint="33"/>
      </w:tcPr>
    </w:tblStylePr>
    <w:tblStylePr w:type="band1Horz">
      <w:tblPr/>
      <w:tcPr>
        <w:shd w:val="clear" w:color="auto" w:fill="ADADFF" w:themeFill="accent5" w:themeFillTint="33"/>
      </w:tcPr>
    </w:tblStylePr>
  </w:style>
  <w:style w:type="table" w:styleId="ListTable2">
    <w:name w:val="List Table 2"/>
    <w:basedOn w:val="TableNormal"/>
    <w:uiPriority w:val="47"/>
    <w:rsid w:val="00644E8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AC57E0"/>
    <w:pPr>
      <w:spacing w:after="0" w:line="240" w:lineRule="auto"/>
    </w:pPr>
    <w:tblPr>
      <w:tblStyleRow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A16B8B"/>
    <w:pPr>
      <w:spacing w:before="40" w:after="40" w:line="240" w:lineRule="auto"/>
    </w:pPr>
    <w:rPr>
      <w:sz w:val="20"/>
    </w:rPr>
    <w:tblPr>
      <w:tblStyleRowBandSize w:val="1"/>
      <w:tblStyleColBandSize w:val="1"/>
      <w:tblBorders>
        <w:top w:val="single" w:sz="4" w:space="0" w:color="0A0AFF" w:themeColor="accent5" w:themeTint="99"/>
        <w:left w:val="single" w:sz="4" w:space="0" w:color="0A0AFF" w:themeColor="accent5" w:themeTint="99"/>
        <w:bottom w:val="single" w:sz="4" w:space="0" w:color="0A0AFF" w:themeColor="accent5" w:themeTint="99"/>
        <w:right w:val="single" w:sz="4" w:space="0" w:color="0A0AFF" w:themeColor="accent5" w:themeTint="99"/>
        <w:insideH w:val="single" w:sz="4" w:space="0" w:color="0A0AFF" w:themeColor="accent5" w:themeTint="99"/>
        <w:insideV w:val="single" w:sz="4" w:space="0" w:color="0A0AFF" w:themeColor="accent5" w:themeTint="99"/>
      </w:tblBorders>
    </w:tblPr>
    <w:tcPr>
      <w:shd w:val="clear" w:color="auto" w:fill="FFFFFF" w:themeFill="background1"/>
    </w:tcPr>
    <w:tblStylePr w:type="firstRow">
      <w:rPr>
        <w:b/>
        <w:bCs/>
        <w:color w:val="FFFFFF" w:themeColor="background1"/>
      </w:rPr>
      <w:tblPr/>
      <w:tcPr>
        <w:tcBorders>
          <w:top w:val="single" w:sz="4" w:space="0" w:color="000066" w:themeColor="accent5"/>
          <w:left w:val="single" w:sz="4" w:space="0" w:color="000066" w:themeColor="accent5"/>
          <w:bottom w:val="single" w:sz="4" w:space="0" w:color="000066" w:themeColor="accent5"/>
          <w:right w:val="single" w:sz="4" w:space="0" w:color="000066" w:themeColor="accent5"/>
          <w:insideH w:val="nil"/>
        </w:tcBorders>
        <w:shd w:val="clear" w:color="auto" w:fill="000066" w:themeFill="accent5"/>
      </w:tcPr>
    </w:tblStylePr>
    <w:tblStylePr w:type="lastRow">
      <w:rPr>
        <w:b/>
        <w:bCs/>
      </w:rPr>
      <w:tblPr/>
      <w:tcPr>
        <w:tcBorders>
          <w:top w:val="double" w:sz="4" w:space="0" w:color="0A0AFF" w:themeColor="accent5" w:themeTint="99"/>
        </w:tcBorders>
      </w:tcPr>
    </w:tblStylePr>
    <w:tblStylePr w:type="firstCol">
      <w:rPr>
        <w:b/>
        <w:bCs/>
      </w:rPr>
    </w:tblStylePr>
    <w:tblStylePr w:type="lastCol">
      <w:rPr>
        <w:b/>
        <w:bCs/>
      </w:rPr>
    </w:tblStylePr>
    <w:tblStylePr w:type="band1Vert">
      <w:tblPr/>
      <w:tcPr>
        <w:shd w:val="clear" w:color="auto" w:fill="ADADFF" w:themeFill="accent5" w:themeFillTint="33"/>
      </w:tcPr>
    </w:tblStylePr>
    <w:tblStylePr w:type="band1Horz">
      <w:tblPr/>
      <w:tcPr>
        <w:shd w:val="clear" w:color="auto" w:fill="ADADFF" w:themeFill="accent5" w:themeFillTint="33"/>
      </w:tcPr>
    </w:tblStylePr>
  </w:style>
  <w:style w:type="table" w:styleId="ListTable4">
    <w:name w:val="List Table 4"/>
    <w:basedOn w:val="TableNormal"/>
    <w:uiPriority w:val="49"/>
    <w:rsid w:val="00A16B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B53D42"/>
    <w:pPr>
      <w:spacing w:before="60" w:after="60" w:line="240" w:lineRule="auto"/>
    </w:pPr>
    <w:rPr>
      <w:color w:val="000000" w:themeColor="text1"/>
      <w:sz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084540"/>
    <w:rPr>
      <w:rFonts w:asciiTheme="majorHAnsi" w:eastAsiaTheme="majorEastAsia" w:hAnsiTheme="majorHAnsi" w:cstheme="majorBidi"/>
      <w:color w:val="000033"/>
      <w:sz w:val="24"/>
      <w:szCs w:val="24"/>
      <w:lang w:val="en-AU"/>
    </w:rPr>
  </w:style>
  <w:style w:type="character" w:customStyle="1" w:styleId="Heading4Char">
    <w:name w:val="Heading 4 Char"/>
    <w:basedOn w:val="DefaultParagraphFont"/>
    <w:link w:val="Heading4"/>
    <w:uiPriority w:val="9"/>
    <w:rsid w:val="0058722A"/>
    <w:rPr>
      <w:rFonts w:asciiTheme="majorHAnsi" w:eastAsiaTheme="majorEastAsia" w:hAnsiTheme="majorHAnsi" w:cstheme="majorBidi"/>
      <w:b/>
      <w:iCs/>
      <w:color w:val="000033"/>
      <w:sz w:val="20"/>
      <w:lang w:val="en-AU"/>
    </w:rPr>
  </w:style>
  <w:style w:type="character" w:customStyle="1" w:styleId="Heading5Char">
    <w:name w:val="Heading 5 Char"/>
    <w:basedOn w:val="DefaultParagraphFont"/>
    <w:link w:val="Heading5"/>
    <w:uiPriority w:val="9"/>
    <w:rsid w:val="00084540"/>
    <w:rPr>
      <w:rFonts w:asciiTheme="majorHAnsi" w:eastAsiaTheme="majorEastAsia" w:hAnsiTheme="majorHAnsi" w:cstheme="majorBidi"/>
      <w:b/>
      <w:color w:val="000000" w:themeColor="text1"/>
      <w:sz w:val="20"/>
      <w:lang w:val="en-AU"/>
    </w:rPr>
  </w:style>
  <w:style w:type="character" w:styleId="PageNumber">
    <w:name w:val="page number"/>
    <w:basedOn w:val="DefaultParagraphFont"/>
    <w:uiPriority w:val="99"/>
    <w:unhideWhenUsed/>
    <w:rsid w:val="00244131"/>
  </w:style>
  <w:style w:type="character" w:styleId="PlaceholderText">
    <w:name w:val="Placeholder Text"/>
    <w:basedOn w:val="DefaultParagraphFont"/>
    <w:uiPriority w:val="99"/>
    <w:semiHidden/>
    <w:rsid w:val="00A26515"/>
    <w:rPr>
      <w:color w:val="808080"/>
    </w:rPr>
  </w:style>
  <w:style w:type="table" w:styleId="TableGridLight">
    <w:name w:val="Grid Table Light"/>
    <w:basedOn w:val="TableNormal"/>
    <w:uiPriority w:val="40"/>
    <w:rsid w:val="00FC4E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ource">
    <w:name w:val="Source"/>
    <w:basedOn w:val="Normal"/>
    <w:link w:val="SourceChar"/>
    <w:qFormat/>
    <w:rsid w:val="00E255E9"/>
    <w:pPr>
      <w:spacing w:before="120"/>
    </w:pPr>
    <w:rPr>
      <w:sz w:val="16"/>
      <w:szCs w:val="16"/>
    </w:rPr>
  </w:style>
  <w:style w:type="numbering" w:customStyle="1" w:styleId="Style1">
    <w:name w:val="Style1"/>
    <w:uiPriority w:val="99"/>
    <w:rsid w:val="00233C30"/>
    <w:pPr>
      <w:numPr>
        <w:numId w:val="1"/>
      </w:numPr>
    </w:pPr>
  </w:style>
  <w:style w:type="character" w:customStyle="1" w:styleId="SourceChar">
    <w:name w:val="Source Char"/>
    <w:basedOn w:val="DefaultParagraphFont"/>
    <w:link w:val="Source"/>
    <w:rsid w:val="00E255E9"/>
    <w:rPr>
      <w:rFonts w:ascii="Arial" w:hAnsi="Arial"/>
      <w:sz w:val="16"/>
      <w:szCs w:val="16"/>
      <w:lang w:val="en-AU"/>
    </w:rPr>
  </w:style>
  <w:style w:type="table" w:styleId="ListTable3">
    <w:name w:val="List Table 3"/>
    <w:basedOn w:val="TableNormal"/>
    <w:uiPriority w:val="48"/>
    <w:rsid w:val="005D329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ListParagraphChar">
    <w:name w:val="List Paragraph Char"/>
    <w:basedOn w:val="DefaultParagraphFont"/>
    <w:link w:val="ListParagraph"/>
    <w:rsid w:val="007D76C5"/>
    <w:rPr>
      <w:rFonts w:ascii="Arial" w:hAnsi="Arial"/>
      <w:sz w:val="20"/>
      <w:lang w:val="en-AU"/>
    </w:rPr>
  </w:style>
  <w:style w:type="paragraph" w:styleId="BodyText">
    <w:name w:val="Body Text"/>
    <w:basedOn w:val="Normal"/>
    <w:link w:val="BodyTextChar"/>
    <w:uiPriority w:val="1"/>
    <w:unhideWhenUsed/>
    <w:rsid w:val="00B37E65"/>
    <w:pPr>
      <w:autoSpaceDE w:val="0"/>
      <w:autoSpaceDN w:val="0"/>
      <w:spacing w:after="0"/>
      <w:ind w:left="460"/>
    </w:pPr>
    <w:rPr>
      <w:rFonts w:eastAsiaTheme="minorEastAsia" w:cs="Arial"/>
      <w:szCs w:val="20"/>
      <w:lang w:bidi="hi-IN"/>
    </w:rPr>
  </w:style>
  <w:style w:type="character" w:customStyle="1" w:styleId="BodyTextChar">
    <w:name w:val="Body Text Char"/>
    <w:basedOn w:val="DefaultParagraphFont"/>
    <w:link w:val="BodyText"/>
    <w:uiPriority w:val="1"/>
    <w:rsid w:val="00B37E65"/>
    <w:rPr>
      <w:rFonts w:ascii="Arial" w:eastAsiaTheme="minorEastAsia" w:hAnsi="Arial" w:cs="Arial"/>
      <w:sz w:val="20"/>
      <w:szCs w:val="20"/>
      <w:lang w:val="en-AU" w:bidi="hi-IN"/>
    </w:rPr>
  </w:style>
  <w:style w:type="character" w:styleId="CommentReference">
    <w:name w:val="annotation reference"/>
    <w:basedOn w:val="DefaultParagraphFont"/>
    <w:uiPriority w:val="99"/>
    <w:semiHidden/>
    <w:unhideWhenUsed/>
    <w:rsid w:val="0067401F"/>
    <w:rPr>
      <w:sz w:val="16"/>
      <w:szCs w:val="16"/>
    </w:rPr>
  </w:style>
  <w:style w:type="paragraph" w:styleId="CommentText">
    <w:name w:val="annotation text"/>
    <w:basedOn w:val="Normal"/>
    <w:link w:val="CommentTextChar"/>
    <w:uiPriority w:val="99"/>
    <w:unhideWhenUsed/>
    <w:rsid w:val="0067401F"/>
    <w:rPr>
      <w:szCs w:val="20"/>
    </w:rPr>
  </w:style>
  <w:style w:type="character" w:customStyle="1" w:styleId="CommentTextChar">
    <w:name w:val="Comment Text Char"/>
    <w:basedOn w:val="DefaultParagraphFont"/>
    <w:link w:val="CommentText"/>
    <w:uiPriority w:val="99"/>
    <w:rsid w:val="0067401F"/>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7401F"/>
    <w:rPr>
      <w:b/>
      <w:bCs/>
    </w:rPr>
  </w:style>
  <w:style w:type="character" w:customStyle="1" w:styleId="CommentSubjectChar">
    <w:name w:val="Comment Subject Char"/>
    <w:basedOn w:val="CommentTextChar"/>
    <w:link w:val="CommentSubject"/>
    <w:uiPriority w:val="99"/>
    <w:semiHidden/>
    <w:rsid w:val="0067401F"/>
    <w:rPr>
      <w:rFonts w:ascii="Arial" w:hAnsi="Arial"/>
      <w:b/>
      <w:bCs/>
      <w:sz w:val="20"/>
      <w:szCs w:val="20"/>
      <w:lang w:val="en-AU"/>
    </w:rPr>
  </w:style>
  <w:style w:type="table" w:styleId="ListTable6Colorful-Accent1">
    <w:name w:val="List Table 6 Colorful Accent 1"/>
    <w:basedOn w:val="TableNormal"/>
    <w:uiPriority w:val="51"/>
    <w:rsid w:val="004E0F98"/>
    <w:pPr>
      <w:spacing w:after="0" w:line="240" w:lineRule="auto"/>
    </w:pPr>
    <w:rPr>
      <w:color w:val="009898" w:themeColor="accent1" w:themeShade="BF"/>
    </w:rPr>
    <w:tblPr>
      <w:tblStyleRowBandSize w:val="1"/>
      <w:tblStyleColBandSize w:val="1"/>
      <w:tblBorders>
        <w:top w:val="single" w:sz="4" w:space="0" w:color="00CCCC" w:themeColor="accent1"/>
        <w:bottom w:val="single" w:sz="4" w:space="0" w:color="00CCCC" w:themeColor="accent1"/>
      </w:tblBorders>
    </w:tblPr>
    <w:tblStylePr w:type="firstRow">
      <w:rPr>
        <w:b/>
        <w:bCs/>
      </w:rPr>
      <w:tblPr/>
      <w:tcPr>
        <w:tcBorders>
          <w:bottom w:val="single" w:sz="4" w:space="0" w:color="00CCCC" w:themeColor="accent1"/>
        </w:tcBorders>
      </w:tcPr>
    </w:tblStylePr>
    <w:tblStylePr w:type="lastRow">
      <w:rPr>
        <w:b/>
        <w:bCs/>
      </w:rPr>
      <w:tblPr/>
      <w:tcPr>
        <w:tcBorders>
          <w:top w:val="double" w:sz="4" w:space="0" w:color="00CCCC" w:themeColor="accent1"/>
        </w:tcBorders>
      </w:tcPr>
    </w:tblStylePr>
    <w:tblStylePr w:type="firstCol">
      <w:rPr>
        <w:b/>
        <w:bCs/>
      </w:rPr>
    </w:tblStylePr>
    <w:tblStylePr w:type="lastCol">
      <w:rPr>
        <w:b/>
        <w:bCs/>
      </w:rPr>
    </w:tblStylePr>
    <w:tblStylePr w:type="band1Vert">
      <w:tblPr/>
      <w:tcPr>
        <w:shd w:val="clear" w:color="auto" w:fill="C1FFFF" w:themeFill="accent1" w:themeFillTint="33"/>
      </w:tcPr>
    </w:tblStylePr>
    <w:tblStylePr w:type="band1Horz">
      <w:tblPr/>
      <w:tcPr>
        <w:shd w:val="clear" w:color="auto" w:fill="C1FFFF" w:themeFill="accent1" w:themeFillTint="33"/>
      </w:tcPr>
    </w:tblStylePr>
  </w:style>
  <w:style w:type="table" w:styleId="ListTable6Colorful-Accent2">
    <w:name w:val="List Table 6 Colorful Accent 2"/>
    <w:basedOn w:val="TableNormal"/>
    <w:uiPriority w:val="51"/>
    <w:rsid w:val="004E0F98"/>
    <w:pPr>
      <w:spacing w:after="0" w:line="240" w:lineRule="auto"/>
    </w:pPr>
    <w:rPr>
      <w:color w:val="007272" w:themeColor="accent2" w:themeShade="BF"/>
    </w:rPr>
    <w:tblPr>
      <w:tblStyleRowBandSize w:val="1"/>
      <w:tblStyleColBandSize w:val="1"/>
      <w:tblBorders>
        <w:top w:val="single" w:sz="4" w:space="0" w:color="009999" w:themeColor="accent2"/>
        <w:bottom w:val="single" w:sz="4" w:space="0" w:color="009999" w:themeColor="accent2"/>
      </w:tblBorders>
    </w:tblPr>
    <w:tblStylePr w:type="firstRow">
      <w:rPr>
        <w:b/>
        <w:bCs/>
      </w:rPr>
      <w:tblPr/>
      <w:tcPr>
        <w:tcBorders>
          <w:bottom w:val="single" w:sz="4" w:space="0" w:color="009999" w:themeColor="accent2"/>
        </w:tcBorders>
      </w:tcPr>
    </w:tblStylePr>
    <w:tblStylePr w:type="lastRow">
      <w:rPr>
        <w:b/>
        <w:bCs/>
      </w:rPr>
      <w:tblPr/>
      <w:tcPr>
        <w:tcBorders>
          <w:top w:val="double" w:sz="4" w:space="0" w:color="009999" w:themeColor="accent2"/>
        </w:tcBorders>
      </w:tcPr>
    </w:tblStylePr>
    <w:tblStylePr w:type="firstCol">
      <w:rPr>
        <w:b/>
        <w:bCs/>
      </w:rPr>
    </w:tblStylePr>
    <w:tblStylePr w:type="lastCol">
      <w:rPr>
        <w:b/>
        <w:bCs/>
      </w:rPr>
    </w:tblStylePr>
    <w:tblStylePr w:type="band1Vert">
      <w:tblPr/>
      <w:tcPr>
        <w:shd w:val="clear" w:color="auto" w:fill="B7FFFF" w:themeFill="accent2" w:themeFillTint="33"/>
      </w:tcPr>
    </w:tblStylePr>
    <w:tblStylePr w:type="band1Horz">
      <w:tblPr/>
      <w:tcPr>
        <w:shd w:val="clear" w:color="auto" w:fill="B7FFFF" w:themeFill="accent2" w:themeFillTint="33"/>
      </w:tcPr>
    </w:tblStylePr>
  </w:style>
  <w:style w:type="paragraph" w:styleId="Revision">
    <w:name w:val="Revision"/>
    <w:hidden/>
    <w:uiPriority w:val="99"/>
    <w:semiHidden/>
    <w:rsid w:val="000332CE"/>
    <w:pPr>
      <w:spacing w:after="0" w:line="240" w:lineRule="auto"/>
    </w:pPr>
    <w:rPr>
      <w:rFonts w:ascii="Arial" w:hAnsi="Arial"/>
      <w:sz w:val="20"/>
      <w:lang w:val="en-AU"/>
    </w:rPr>
  </w:style>
  <w:style w:type="table" w:styleId="ListTable5Dark-Accent1">
    <w:name w:val="List Table 5 Dark Accent 1"/>
    <w:basedOn w:val="TableNormal"/>
    <w:uiPriority w:val="50"/>
    <w:rsid w:val="00CD7D2B"/>
    <w:pPr>
      <w:spacing w:after="0" w:line="240" w:lineRule="auto"/>
    </w:pPr>
    <w:rPr>
      <w:color w:val="FFFFFF" w:themeColor="background1"/>
    </w:rPr>
    <w:tblPr>
      <w:tblStyleRowBandSize w:val="1"/>
      <w:tblStyleColBandSize w:val="1"/>
      <w:tblBorders>
        <w:top w:val="single" w:sz="24" w:space="0" w:color="00CCCC" w:themeColor="accent1"/>
        <w:left w:val="single" w:sz="24" w:space="0" w:color="00CCCC" w:themeColor="accent1"/>
        <w:bottom w:val="single" w:sz="24" w:space="0" w:color="00CCCC" w:themeColor="accent1"/>
        <w:right w:val="single" w:sz="24" w:space="0" w:color="00CCCC" w:themeColor="accent1"/>
      </w:tblBorders>
    </w:tblPr>
    <w:tcPr>
      <w:shd w:val="clear" w:color="auto" w:fill="00CCC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NormalWeb">
    <w:name w:val="Normal (Web)"/>
    <w:basedOn w:val="Normal"/>
    <w:uiPriority w:val="99"/>
    <w:semiHidden/>
    <w:unhideWhenUsed/>
    <w:rsid w:val="007D414F"/>
    <w:pPr>
      <w:spacing w:before="100" w:beforeAutospacing="1" w:after="100" w:afterAutospacing="1"/>
    </w:pPr>
    <w:rPr>
      <w:rFonts w:ascii="Times New Roman" w:eastAsia="Times New Roman" w:hAnsi="Times New Roman" w:cs="Times New Roman"/>
      <w:sz w:val="24"/>
      <w:szCs w:val="24"/>
      <w:lang w:eastAsia="zh-CN" w:bidi="hi-IN"/>
    </w:rPr>
  </w:style>
  <w:style w:type="character" w:styleId="FollowedHyperlink">
    <w:name w:val="FollowedHyperlink"/>
    <w:basedOn w:val="DefaultParagraphFont"/>
    <w:uiPriority w:val="99"/>
    <w:semiHidden/>
    <w:unhideWhenUsed/>
    <w:rsid w:val="00D27C89"/>
    <w:rPr>
      <w:color w:val="800080" w:themeColor="followedHyperlink"/>
      <w:u w:val="single"/>
    </w:rPr>
  </w:style>
  <w:style w:type="table" w:styleId="PlainTable5">
    <w:name w:val="Plain Table 5"/>
    <w:basedOn w:val="TableNormal"/>
    <w:uiPriority w:val="45"/>
    <w:rsid w:val="009041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ingmain">
    <w:name w:val="Heading main"/>
    <w:basedOn w:val="Heading1"/>
    <w:link w:val="HeadingmainChar"/>
    <w:rsid w:val="006F2C94"/>
    <w:rPr>
      <w:color w:val="000033" w:themeColor="accent6"/>
      <w:sz w:val="44"/>
    </w:rPr>
  </w:style>
  <w:style w:type="character" w:customStyle="1" w:styleId="HeadingmainChar">
    <w:name w:val="Heading main Char"/>
    <w:basedOn w:val="Heading1Char"/>
    <w:link w:val="Headingmain"/>
    <w:rsid w:val="006F2C94"/>
    <w:rPr>
      <w:rFonts w:ascii="Arial" w:eastAsiaTheme="majorEastAsia" w:hAnsi="Arial" w:cstheme="majorBidi"/>
      <w:color w:val="000033" w:themeColor="accent6"/>
      <w:sz w:val="44"/>
      <w:szCs w:val="32"/>
      <w:lang w:val="en-AU"/>
    </w:rPr>
  </w:style>
  <w:style w:type="paragraph" w:customStyle="1" w:styleId="TableParagraph">
    <w:name w:val="Table Paragraph"/>
    <w:basedOn w:val="Normal"/>
    <w:uiPriority w:val="1"/>
    <w:qFormat/>
    <w:rsid w:val="00022072"/>
    <w:pPr>
      <w:widowControl w:val="0"/>
      <w:autoSpaceDE w:val="0"/>
      <w:autoSpaceDN w:val="0"/>
      <w:spacing w:before="138" w:after="0"/>
      <w:ind w:left="170"/>
    </w:pPr>
    <w:rPr>
      <w:rFonts w:eastAsia="Arial" w:cs="Arial"/>
      <w:sz w:val="22"/>
      <w:lang w:val="en-US"/>
    </w:rPr>
  </w:style>
  <w:style w:type="paragraph" w:customStyle="1" w:styleId="Paragraph">
    <w:name w:val="Paragraph"/>
    <w:basedOn w:val="Normal"/>
    <w:link w:val="ParagraphChar"/>
    <w:qFormat/>
    <w:rsid w:val="006D345F"/>
    <w:pPr>
      <w:spacing w:before="120" w:after="120"/>
    </w:pPr>
    <w:rPr>
      <w:rFonts w:eastAsiaTheme="majorEastAsia" w:cs="Arial"/>
      <w:color w:val="00CCCC"/>
      <w:sz w:val="24"/>
      <w:szCs w:val="24"/>
    </w:rPr>
  </w:style>
  <w:style w:type="character" w:customStyle="1" w:styleId="ParagraphChar">
    <w:name w:val="Paragraph Char"/>
    <w:basedOn w:val="Heading1Char"/>
    <w:link w:val="Paragraph"/>
    <w:rsid w:val="006D345F"/>
    <w:rPr>
      <w:rFonts w:ascii="Arial" w:eastAsiaTheme="majorEastAsia" w:hAnsi="Arial" w:cs="Arial"/>
      <w:color w:val="00CCCC"/>
      <w:sz w:val="24"/>
      <w:szCs w:val="24"/>
      <w:lang w:val="en-AU"/>
    </w:rPr>
  </w:style>
  <w:style w:type="paragraph" w:customStyle="1" w:styleId="bullet">
    <w:name w:val="bullet"/>
    <w:basedOn w:val="ListParagraph"/>
    <w:qFormat/>
    <w:rsid w:val="00175353"/>
    <w:pPr>
      <w:numPr>
        <w:numId w:val="5"/>
      </w:numPr>
      <w:spacing w:after="120" w:line="264" w:lineRule="auto"/>
      <w:contextualSpacing w:val="0"/>
    </w:pPr>
    <w:rPr>
      <w:rFonts w:eastAsiaTheme="minorEastAsi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14762">
      <w:bodyDiv w:val="1"/>
      <w:marLeft w:val="0"/>
      <w:marRight w:val="0"/>
      <w:marTop w:val="0"/>
      <w:marBottom w:val="0"/>
      <w:divBdr>
        <w:top w:val="none" w:sz="0" w:space="0" w:color="auto"/>
        <w:left w:val="none" w:sz="0" w:space="0" w:color="auto"/>
        <w:bottom w:val="none" w:sz="0" w:space="0" w:color="auto"/>
        <w:right w:val="none" w:sz="0" w:space="0" w:color="auto"/>
      </w:divBdr>
    </w:div>
    <w:div w:id="628055791">
      <w:bodyDiv w:val="1"/>
      <w:marLeft w:val="0"/>
      <w:marRight w:val="0"/>
      <w:marTop w:val="0"/>
      <w:marBottom w:val="0"/>
      <w:divBdr>
        <w:top w:val="none" w:sz="0" w:space="0" w:color="auto"/>
        <w:left w:val="none" w:sz="0" w:space="0" w:color="auto"/>
        <w:bottom w:val="none" w:sz="0" w:space="0" w:color="auto"/>
        <w:right w:val="none" w:sz="0" w:space="0" w:color="auto"/>
      </w:divBdr>
    </w:div>
    <w:div w:id="678389466">
      <w:bodyDiv w:val="1"/>
      <w:marLeft w:val="0"/>
      <w:marRight w:val="0"/>
      <w:marTop w:val="0"/>
      <w:marBottom w:val="0"/>
      <w:divBdr>
        <w:top w:val="none" w:sz="0" w:space="0" w:color="auto"/>
        <w:left w:val="none" w:sz="0" w:space="0" w:color="auto"/>
        <w:bottom w:val="none" w:sz="0" w:space="0" w:color="auto"/>
        <w:right w:val="none" w:sz="0" w:space="0" w:color="auto"/>
      </w:divBdr>
    </w:div>
    <w:div w:id="915869751">
      <w:bodyDiv w:val="1"/>
      <w:marLeft w:val="0"/>
      <w:marRight w:val="0"/>
      <w:marTop w:val="0"/>
      <w:marBottom w:val="0"/>
      <w:divBdr>
        <w:top w:val="none" w:sz="0" w:space="0" w:color="auto"/>
        <w:left w:val="none" w:sz="0" w:space="0" w:color="auto"/>
        <w:bottom w:val="none" w:sz="0" w:space="0" w:color="auto"/>
        <w:right w:val="none" w:sz="0" w:space="0" w:color="auto"/>
      </w:divBdr>
    </w:div>
    <w:div w:id="1172184465">
      <w:bodyDiv w:val="1"/>
      <w:marLeft w:val="0"/>
      <w:marRight w:val="0"/>
      <w:marTop w:val="0"/>
      <w:marBottom w:val="0"/>
      <w:divBdr>
        <w:top w:val="none" w:sz="0" w:space="0" w:color="auto"/>
        <w:left w:val="none" w:sz="0" w:space="0" w:color="auto"/>
        <w:bottom w:val="none" w:sz="0" w:space="0" w:color="auto"/>
        <w:right w:val="none" w:sz="0" w:space="0" w:color="auto"/>
      </w:divBdr>
    </w:div>
    <w:div w:id="1417289552">
      <w:bodyDiv w:val="1"/>
      <w:marLeft w:val="0"/>
      <w:marRight w:val="0"/>
      <w:marTop w:val="0"/>
      <w:marBottom w:val="0"/>
      <w:divBdr>
        <w:top w:val="none" w:sz="0" w:space="0" w:color="auto"/>
        <w:left w:val="none" w:sz="0" w:space="0" w:color="auto"/>
        <w:bottom w:val="none" w:sz="0" w:space="0" w:color="auto"/>
        <w:right w:val="none" w:sz="0" w:space="0" w:color="auto"/>
      </w:divBdr>
    </w:div>
    <w:div w:id="1460879256">
      <w:bodyDiv w:val="1"/>
      <w:marLeft w:val="0"/>
      <w:marRight w:val="0"/>
      <w:marTop w:val="0"/>
      <w:marBottom w:val="0"/>
      <w:divBdr>
        <w:top w:val="none" w:sz="0" w:space="0" w:color="auto"/>
        <w:left w:val="none" w:sz="0" w:space="0" w:color="auto"/>
        <w:bottom w:val="none" w:sz="0" w:space="0" w:color="auto"/>
        <w:right w:val="none" w:sz="0" w:space="0" w:color="auto"/>
      </w:divBdr>
    </w:div>
    <w:div w:id="1910144704">
      <w:bodyDiv w:val="1"/>
      <w:marLeft w:val="0"/>
      <w:marRight w:val="0"/>
      <w:marTop w:val="0"/>
      <w:marBottom w:val="0"/>
      <w:divBdr>
        <w:top w:val="none" w:sz="0" w:space="0" w:color="auto"/>
        <w:left w:val="none" w:sz="0" w:space="0" w:color="auto"/>
        <w:bottom w:val="none" w:sz="0" w:space="0" w:color="auto"/>
        <w:right w:val="none" w:sz="0" w:space="0" w:color="auto"/>
      </w:divBdr>
    </w:div>
    <w:div w:id="1941836555">
      <w:bodyDiv w:val="1"/>
      <w:marLeft w:val="0"/>
      <w:marRight w:val="0"/>
      <w:marTop w:val="0"/>
      <w:marBottom w:val="0"/>
      <w:divBdr>
        <w:top w:val="none" w:sz="0" w:space="0" w:color="auto"/>
        <w:left w:val="none" w:sz="0" w:space="0" w:color="auto"/>
        <w:bottom w:val="none" w:sz="0" w:space="0" w:color="auto"/>
        <w:right w:val="none" w:sz="0" w:space="0" w:color="auto"/>
      </w:divBdr>
    </w:div>
    <w:div w:id="199178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iq.qld.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linkedin.com/company/tradeinvestqld/life/connectedbyyou/?viewAsMember=tru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martjobs.qld.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martjobs.qld.gov.au"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IQ Microsoft colours">
      <a:dk1>
        <a:sysClr val="windowText" lastClr="000000"/>
      </a:dk1>
      <a:lt1>
        <a:sysClr val="window" lastClr="FFFFFF"/>
      </a:lt1>
      <a:dk2>
        <a:srgbClr val="1F497D"/>
      </a:dk2>
      <a:lt2>
        <a:srgbClr val="EEECE1"/>
      </a:lt2>
      <a:accent1>
        <a:srgbClr val="00CCCC"/>
      </a:accent1>
      <a:accent2>
        <a:srgbClr val="009999"/>
      </a:accent2>
      <a:accent3>
        <a:srgbClr val="FFCC00"/>
      </a:accent3>
      <a:accent4>
        <a:srgbClr val="548DD4"/>
      </a:accent4>
      <a:accent5>
        <a:srgbClr val="000066"/>
      </a:accent5>
      <a:accent6>
        <a:srgbClr val="000033"/>
      </a:accent6>
      <a:hlink>
        <a:srgbClr val="0000FF"/>
      </a:hlink>
      <a:folHlink>
        <a:srgbClr val="800080"/>
      </a:folHlink>
    </a:clrScheme>
    <a:fontScheme name="TIQ Fonts">
      <a:majorFont>
        <a:latin typeface="Arial"/>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7ed4765-e7eb-4253-a725-d69cacc29613" xsi:nil="true"/>
    <lcf76f155ced4ddcb4097134ff3c332f xmlns="7f365757-7da9-41f7-81f8-8cd751c8bac3">
      <Terms xmlns="http://schemas.microsoft.com/office/infopath/2007/PartnerControls"/>
    </lcf76f155ced4ddcb4097134ff3c332f>
    <_dlc_DocId xmlns="27ed4765-e7eb-4253-a725-d69cacc29613">TGCNN6408S-1493287090-207886</_dlc_DocId>
    <_dlc_DocIdUrl xmlns="27ed4765-e7eb-4253-a725-d69cacc29613">
      <Url>https://ontalent.sharepoint.com/_layouts/15/DocIdRedir.aspx?ID=TGCNN6408S-1493287090-207886</Url>
      <Description>TGCNN6408S-1493287090-207886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BFFA554B663340ADA1379D8E8B38C9" ma:contentTypeVersion="14" ma:contentTypeDescription="Create a new document." ma:contentTypeScope="" ma:versionID="465f486244a3138d0b95e83c5b65ef7f">
  <xsd:schema xmlns:xsd="http://www.w3.org/2001/XMLSchema" xmlns:xs="http://www.w3.org/2001/XMLSchema" xmlns:p="http://schemas.microsoft.com/office/2006/metadata/properties" xmlns:ns2="27ed4765-e7eb-4253-a725-d69cacc29613" xmlns:ns3="7f365757-7da9-41f7-81f8-8cd751c8bac3" targetNamespace="http://schemas.microsoft.com/office/2006/metadata/properties" ma:root="true" ma:fieldsID="b771c958dfeb77f19af363b85ef801d0" ns2:_="" ns3:_="">
    <xsd:import namespace="27ed4765-e7eb-4253-a725-d69cacc29613"/>
    <xsd:import namespace="7f365757-7da9-41f7-81f8-8cd751c8bac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ed4765-e7eb-4253-a725-d69cacc296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ac7f46df-79f2-4712-ad6d-29e0d1c7175c}" ma:internalName="TaxCatchAll" ma:showField="CatchAllData" ma:web="27ed4765-e7eb-4253-a725-d69cacc296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365757-7da9-41f7-81f8-8cd751c8ba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5b024c7-0968-4708-a498-8c4a43e78b7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88E01D-143E-44F1-A624-AA04125F545B}">
  <ds:schemaRefs>
    <ds:schemaRef ds:uri="http://schemas.openxmlformats.org/officeDocument/2006/bibliography"/>
  </ds:schemaRefs>
</ds:datastoreItem>
</file>

<file path=customXml/itemProps2.xml><?xml version="1.0" encoding="utf-8"?>
<ds:datastoreItem xmlns:ds="http://schemas.openxmlformats.org/officeDocument/2006/customXml" ds:itemID="{7FD8823E-B559-4326-B1F1-9BF1C87511B1}">
  <ds:schemaRefs>
    <ds:schemaRef ds:uri="http://schemas.microsoft.com/office/2006/metadata/properties"/>
    <ds:schemaRef ds:uri="http://schemas.microsoft.com/office/infopath/2007/PartnerControls"/>
    <ds:schemaRef ds:uri="27ed4765-e7eb-4253-a725-d69cacc29613"/>
    <ds:schemaRef ds:uri="7f365757-7da9-41f7-81f8-8cd751c8bac3"/>
  </ds:schemaRefs>
</ds:datastoreItem>
</file>

<file path=customXml/itemProps3.xml><?xml version="1.0" encoding="utf-8"?>
<ds:datastoreItem xmlns:ds="http://schemas.openxmlformats.org/officeDocument/2006/customXml" ds:itemID="{F2FF98CC-8AB6-4E05-9BEF-686CBF733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ed4765-e7eb-4253-a725-d69cacc29613"/>
    <ds:schemaRef ds:uri="7f365757-7da9-41f7-81f8-8cd751c8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A21F9D-B4A6-44FC-B272-1D82B03BAEAF}">
  <ds:schemaRefs>
    <ds:schemaRef ds:uri="http://schemas.microsoft.com/sharepoint/events"/>
  </ds:schemaRefs>
</ds:datastoreItem>
</file>

<file path=customXml/itemProps5.xml><?xml version="1.0" encoding="utf-8"?>
<ds:datastoreItem xmlns:ds="http://schemas.openxmlformats.org/officeDocument/2006/customXml" ds:itemID="{1D2E64B7-5EAC-4414-B390-246094AACD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1923</Words>
  <Characters>10964</Characters>
  <Application>Microsoft Office Word</Application>
  <DocSecurity>0</DocSecurity>
  <Lines>91</Lines>
  <Paragraphs>25</Paragraphs>
  <ScaleCrop>false</ScaleCrop>
  <Company/>
  <LinksUpToDate>false</LinksUpToDate>
  <CharactersWithSpaces>12862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 Trade and Investment Commissioner – Korea</dc:title>
  <dc:subject/>
  <dc:creator>rdickens</dc:creator>
  <cp:keywords/>
  <cp:lastModifiedBy>Jevon Seah</cp:lastModifiedBy>
  <cp:revision>71</cp:revision>
  <cp:lastPrinted>2024-07-29T09:15:00Z</cp:lastPrinted>
  <dcterms:created xsi:type="dcterms:W3CDTF">2026-03-20T00:25:00Z</dcterms:created>
  <dcterms:modified xsi:type="dcterms:W3CDTF">2026-05-12T06:41:00Z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0x010100C1BFFA554B663340ADA1379D8E8B38C9</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dlc_DocIdItemGuid">
    <vt:lpwstr>ac7c7748-b19b-4950-b214-81a282772e8b</vt:lpwstr>
  </property>
</Properties>
</file>